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B4FBB" w14:textId="45273641" w:rsidR="00AE1047" w:rsidRPr="00FD5EEE" w:rsidRDefault="00000000">
      <w:pPr>
        <w:pStyle w:val="Title"/>
        <w:rPr>
          <w:sz w:val="48"/>
          <w:szCs w:val="48"/>
        </w:rPr>
      </w:pPr>
      <w:r w:rsidRPr="00FD5EEE">
        <w:rPr>
          <w:sz w:val="48"/>
          <w:szCs w:val="48"/>
        </w:rPr>
        <w:t xml:space="preserve">Comment on </w:t>
      </w:r>
      <w:r w:rsidR="00EA5FB9" w:rsidRPr="00FD5EEE">
        <w:rPr>
          <w:sz w:val="48"/>
          <w:szCs w:val="48"/>
        </w:rPr>
        <w:t xml:space="preserve">Boger &amp; Firestone (2026): </w:t>
      </w:r>
      <w:r w:rsidRPr="00FD5EEE">
        <w:rPr>
          <w:sz w:val="48"/>
          <w:szCs w:val="48"/>
        </w:rPr>
        <w:t>Perceiving animacy in ‘identical’ images</w:t>
      </w:r>
    </w:p>
    <w:p w14:paraId="46B95A14" w14:textId="017DE1BE" w:rsidR="00EA5FB9" w:rsidRDefault="00000000" w:rsidP="00EA5FB9">
      <w:pPr>
        <w:pStyle w:val="Subtitle"/>
        <w:rPr>
          <w:sz w:val="20"/>
          <w:szCs w:val="20"/>
        </w:rPr>
      </w:pPr>
      <w:r w:rsidRPr="00C52B14">
        <w:rPr>
          <w:i w:val="0"/>
          <w:iCs w:val="0"/>
          <w:szCs w:val="22"/>
        </w:rPr>
        <w:t>Surya Gayet</w:t>
      </w:r>
      <w:r w:rsidR="00C52B14" w:rsidRPr="00C52B14">
        <w:rPr>
          <w:i w:val="0"/>
          <w:iCs w:val="0"/>
          <w:szCs w:val="22"/>
        </w:rPr>
        <w:t xml:space="preserve"> </w:t>
      </w:r>
      <w:r w:rsidRPr="00C52B14">
        <w:rPr>
          <w:i w:val="0"/>
          <w:iCs w:val="0"/>
          <w:sz w:val="20"/>
          <w:szCs w:val="20"/>
        </w:rPr>
        <w:br/>
      </w:r>
      <w:r w:rsidR="00EA5FB9" w:rsidRPr="00EA5FB9">
        <w:rPr>
          <w:sz w:val="18"/>
          <w:szCs w:val="18"/>
        </w:rPr>
        <w:t xml:space="preserve">Helmholtz Institute, </w:t>
      </w:r>
      <w:r w:rsidRPr="00EA5FB9">
        <w:rPr>
          <w:sz w:val="18"/>
          <w:szCs w:val="18"/>
        </w:rPr>
        <w:t xml:space="preserve">Utrecht University, </w:t>
      </w:r>
      <w:r w:rsidR="00FA4753">
        <w:rPr>
          <w:sz w:val="18"/>
          <w:szCs w:val="18"/>
        </w:rPr>
        <w:t xml:space="preserve">Experimental Psychology, </w:t>
      </w:r>
      <w:r w:rsidRPr="00EA5FB9">
        <w:rPr>
          <w:sz w:val="18"/>
          <w:szCs w:val="18"/>
        </w:rPr>
        <w:t>Utrecht, The Netherlands</w:t>
      </w:r>
      <w:r w:rsidR="00EA5FB9" w:rsidRPr="00EA5FB9">
        <w:rPr>
          <w:sz w:val="18"/>
          <w:szCs w:val="18"/>
        </w:rPr>
        <w:br/>
        <w:t xml:space="preserve">Correspondence: </w:t>
      </w:r>
      <w:hyperlink r:id="rId8" w:history="1">
        <w:r w:rsidR="00EA5FB9" w:rsidRPr="00EA5FB9">
          <w:rPr>
            <w:rStyle w:val="Hyperlink"/>
            <w:sz w:val="18"/>
            <w:szCs w:val="18"/>
          </w:rPr>
          <w:t>s.gayet@uu.nl</w:t>
        </w:r>
      </w:hyperlink>
      <w:r w:rsidR="00EA5FB9" w:rsidRPr="00EA5FB9">
        <w:rPr>
          <w:sz w:val="20"/>
          <w:szCs w:val="20"/>
        </w:rPr>
        <w:t xml:space="preserve"> </w:t>
      </w:r>
      <w:r w:rsidR="00C52B14" w:rsidRPr="00C52B14">
        <w:rPr>
          <w:sz w:val="18"/>
          <w:szCs w:val="18"/>
        </w:rPr>
        <w:br/>
        <w:t xml:space="preserve">ORCID: </w:t>
      </w:r>
      <w:hyperlink r:id="rId9" w:history="1">
        <w:r w:rsidR="00C52B14" w:rsidRPr="00C52B14">
          <w:rPr>
            <w:rStyle w:val="Hyperlink"/>
            <w:sz w:val="18"/>
            <w:szCs w:val="18"/>
          </w:rPr>
          <w:t>0000-0001-9728-1272</w:t>
        </w:r>
      </w:hyperlink>
    </w:p>
    <w:p w14:paraId="63ABD385" w14:textId="77777777" w:rsidR="00EA5FB9" w:rsidRPr="00EA5FB9" w:rsidRDefault="00EA5FB9" w:rsidP="00EA5FB9"/>
    <w:p w14:paraId="24E04D56" w14:textId="77777777" w:rsidR="00AE1047" w:rsidRDefault="00000000">
      <w:pPr>
        <w:pStyle w:val="Heading1"/>
      </w:pPr>
      <w:r>
        <w:t>Abstract</w:t>
      </w:r>
    </w:p>
    <w:p w14:paraId="4C03AA2B" w14:textId="7E537B81" w:rsidR="00AE1047" w:rsidRDefault="00AE1047">
      <w:hyperlink r:id="rId10">
        <w:r>
          <w:t>Boger and Firestone (2026)</w:t>
        </w:r>
      </w:hyperlink>
      <w:r>
        <w:t xml:space="preserve"> </w:t>
      </w:r>
      <w:r w:rsidR="0057398F">
        <w:t>use a novel set of hybrid stimuli whose identity changes with rotation. They find</w:t>
      </w:r>
      <w:r>
        <w:t xml:space="preserve"> that </w:t>
      </w:r>
      <w:r w:rsidR="0057398F">
        <w:t>change-detection is easier when such images</w:t>
      </w:r>
      <w:r>
        <w:t xml:space="preserve"> cross the animate-inanimate boundary, and that targets are found faster among distractors of the opposite animacy, </w:t>
      </w:r>
      <w:r w:rsidR="0057398F">
        <w:t>despite these objects being constituted of the same pixel-by-pixel content</w:t>
      </w:r>
      <w:r>
        <w:t xml:space="preserve">. </w:t>
      </w:r>
      <w:r w:rsidR="0057398F">
        <w:t>These results are taken</w:t>
      </w:r>
      <w:r>
        <w:t xml:space="preserve"> as evidence that animacy influences visual cognition independently of its lower-level visual correlates. Here, I challenge this inference on two grounds. First, rotation preserves global image statistics but changes the positions and orientations of local features in a retinotopic, anisotropic visual system. Second, findings obtained with a small set of deliberately ambiguous images do not establish the mechanisms of ordinary object recognition. Visual anagrams are ingenious stimuli, but their usefulness for isolating animacy from </w:t>
      </w:r>
      <w:r w:rsidR="0057398F">
        <w:t>its visual correlates</w:t>
      </w:r>
      <w:r>
        <w:t xml:space="preserve"> remains limited.</w:t>
      </w:r>
    </w:p>
    <w:p w14:paraId="5F692B89" w14:textId="77777777" w:rsidR="00EA5FB9" w:rsidRDefault="00EA5FB9"/>
    <w:p w14:paraId="22D3DDA3" w14:textId="77777777" w:rsidR="00852213" w:rsidRDefault="00852213">
      <w:pPr>
        <w:spacing w:after="200" w:line="276" w:lineRule="auto"/>
        <w:jc w:val="left"/>
        <w:rPr>
          <w:rFonts w:asciiTheme="majorHAnsi" w:eastAsiaTheme="majorEastAsia" w:hAnsiTheme="majorHAnsi" w:cstheme="majorBidi"/>
          <w:b/>
          <w:bCs/>
          <w:sz w:val="32"/>
          <w:szCs w:val="28"/>
        </w:rPr>
      </w:pPr>
      <w:r>
        <w:br w:type="page"/>
      </w:r>
    </w:p>
    <w:p w14:paraId="43A409DD" w14:textId="470EEE2C" w:rsidR="00AE1047" w:rsidRDefault="00EA5FB9">
      <w:pPr>
        <w:pStyle w:val="Heading1"/>
      </w:pPr>
      <w:r>
        <w:lastRenderedPageBreak/>
        <w:t>Main manuscript</w:t>
      </w:r>
    </w:p>
    <w:p w14:paraId="58D5559C" w14:textId="2E9852E1" w:rsidR="00EA5FB9" w:rsidRPr="00EA5FB9" w:rsidRDefault="00EA5FB9" w:rsidP="00EA5FB9">
      <w:pPr>
        <w:pStyle w:val="Heading2"/>
      </w:pPr>
      <w:r>
        <w:t>A novel way of controlling for stimulus content</w:t>
      </w:r>
    </w:p>
    <w:p w14:paraId="071B3FC0" w14:textId="7074813B" w:rsidR="00AE1047" w:rsidRDefault="00AE1047" w:rsidP="00E965CF">
      <w:hyperlink r:id="rId11">
        <w:r>
          <w:t>Boger and Firestone (2026)</w:t>
        </w:r>
      </w:hyperlink>
      <w:r>
        <w:t xml:space="preserve"> introduce a</w:t>
      </w:r>
      <w:r w:rsidR="00F158BA">
        <w:t>n</w:t>
      </w:r>
      <w:r>
        <w:t xml:space="preserve"> ingenious way to investigate </w:t>
      </w:r>
      <w:r w:rsidR="008E5064">
        <w:t xml:space="preserve">visual object processing, </w:t>
      </w:r>
      <w:r w:rsidR="00696D75">
        <w:t>separately from</w:t>
      </w:r>
      <w:r w:rsidR="008E5064">
        <w:t xml:space="preserve"> the object’s visual stimulus </w:t>
      </w:r>
      <w:r w:rsidR="00696D75">
        <w:t>characteristics</w:t>
      </w:r>
      <w:r w:rsidR="008E5064">
        <w:t xml:space="preserve">. </w:t>
      </w:r>
      <w:r w:rsidR="00696D75">
        <w:t>In a series of</w:t>
      </w:r>
      <w:r w:rsidR="008E5064">
        <w:t xml:space="preserve"> pre-registered behavioral experiments, they study the processing of </w:t>
      </w:r>
      <w:r>
        <w:t>animacy</w:t>
      </w:r>
      <w:r w:rsidR="0057398F">
        <w:t xml:space="preserve"> </w:t>
      </w:r>
      <w:r w:rsidR="008E5064">
        <w:t xml:space="preserve">using </w:t>
      </w:r>
      <w:r w:rsidR="0057398F">
        <w:t xml:space="preserve">visual anagrams. These are </w:t>
      </w:r>
      <w:r w:rsidR="008E5064">
        <w:t>carefully crafted images</w:t>
      </w:r>
      <w:r>
        <w:t xml:space="preserve"> that depict an animal in one orientation and an inanimate object in another</w:t>
      </w:r>
      <w:r w:rsidR="00696D75">
        <w:t>:</w:t>
      </w:r>
      <w:r>
        <w:t xml:space="preserve"> </w:t>
      </w:r>
      <w:r w:rsidR="00696D75">
        <w:t>a</w:t>
      </w:r>
      <w:r>
        <w:t xml:space="preserve"> dog </w:t>
      </w:r>
      <w:r w:rsidR="00F158BA">
        <w:t xml:space="preserve">is rotated by 90 degrees to </w:t>
      </w:r>
      <w:r>
        <w:t>become a boot</w:t>
      </w:r>
      <w:r w:rsidR="008E5064">
        <w:t>, and</w:t>
      </w:r>
      <w:r>
        <w:t xml:space="preserve"> an elephant becomes a sofa</w:t>
      </w:r>
      <w:r w:rsidR="008251F3">
        <w:t xml:space="preserve"> (</w:t>
      </w:r>
      <w:r w:rsidR="008251F3" w:rsidRPr="008251F3">
        <w:rPr>
          <w:b/>
          <w:bCs/>
        </w:rPr>
        <w:t>Figure 1</w:t>
      </w:r>
      <w:r w:rsidR="008251F3">
        <w:t>)</w:t>
      </w:r>
      <w:r>
        <w:t xml:space="preserve">. </w:t>
      </w:r>
      <w:r w:rsidR="008E5064">
        <w:t>These</w:t>
      </w:r>
      <w:r>
        <w:t xml:space="preserve"> images produced consistent </w:t>
      </w:r>
      <w:r w:rsidR="008E5064">
        <w:t xml:space="preserve">animacy-specific </w:t>
      </w:r>
      <w:r>
        <w:t>behavioral effects</w:t>
      </w:r>
      <w:r w:rsidR="008E5064">
        <w:t xml:space="preserve"> depending on their orientations</w:t>
      </w:r>
      <w:r w:rsidR="0057398F">
        <w:t>, despite the pixel-wise information remaining identical between animacy conditions</w:t>
      </w:r>
      <w:r w:rsidR="000B1C9E">
        <w:t>:</w:t>
      </w:r>
      <w:r>
        <w:t xml:space="preserve"> </w:t>
      </w:r>
      <w:r w:rsidR="00F158BA">
        <w:t>I</w:t>
      </w:r>
      <w:r>
        <w:t xml:space="preserve">n a </w:t>
      </w:r>
      <w:r w:rsidR="00696D75">
        <w:t>change-detection</w:t>
      </w:r>
      <w:r>
        <w:t xml:space="preserve"> task, observers more accurately detected object replacements </w:t>
      </w:r>
      <w:r w:rsidR="00F158BA">
        <w:t xml:space="preserve">that </w:t>
      </w:r>
      <w:r w:rsidR="000B1C9E">
        <w:t>changed</w:t>
      </w:r>
      <w:r w:rsidR="00F158BA">
        <w:t xml:space="preserve"> animacy </w:t>
      </w:r>
      <w:r w:rsidR="000B1C9E">
        <w:t>compared to</w:t>
      </w:r>
      <w:r w:rsidR="00F158BA">
        <w:t xml:space="preserve"> replacements that did not;</w:t>
      </w:r>
      <w:r w:rsidR="008E5064">
        <w:t xml:space="preserve"> in</w:t>
      </w:r>
      <w:r>
        <w:t xml:space="preserve"> visual search, </w:t>
      </w:r>
      <w:r w:rsidR="008E5064">
        <w:t>participants</w:t>
      </w:r>
      <w:r>
        <w:t xml:space="preserve"> more quickly found targets among distractors of the opposite </w:t>
      </w:r>
      <w:r w:rsidR="008E5064">
        <w:t xml:space="preserve">compared to the same </w:t>
      </w:r>
      <w:r>
        <w:t>animacy</w:t>
      </w:r>
      <w:r w:rsidR="00696D75">
        <w:t xml:space="preserve"> </w:t>
      </w:r>
      <w:r w:rsidR="00F158BA">
        <w:t xml:space="preserve">category. </w:t>
      </w:r>
      <w:r w:rsidR="00696D75">
        <w:t>Control</w:t>
      </w:r>
      <w:r>
        <w:t xml:space="preserve"> experiments </w:t>
      </w:r>
      <w:r w:rsidR="00696D75">
        <w:t>showed that these effects did not persist for</w:t>
      </w:r>
      <w:r>
        <w:t xml:space="preserve"> convex-hull silhouettes</w:t>
      </w:r>
      <w:r w:rsidR="00696D75">
        <w:t>, which</w:t>
      </w:r>
      <w:r>
        <w:t xml:space="preserve"> </w:t>
      </w:r>
      <w:r w:rsidR="00696D75">
        <w:t xml:space="preserve">preserve </w:t>
      </w:r>
      <w:r w:rsidR="0057398F">
        <w:t>the</w:t>
      </w:r>
      <w:r w:rsidR="00696D75">
        <w:t xml:space="preserve"> global shape</w:t>
      </w:r>
      <w:r w:rsidR="0057398F">
        <w:t>s of the visual anagrams</w:t>
      </w:r>
      <w:r w:rsidR="00696D75">
        <w:t xml:space="preserve"> </w:t>
      </w:r>
      <w:r w:rsidR="00E129EE">
        <w:t>but are no longer recognizable</w:t>
      </w:r>
      <w:r w:rsidR="00696D75">
        <w:t xml:space="preserve">. This </w:t>
      </w:r>
      <w:r w:rsidR="00E129EE">
        <w:t>is taken as evidence</w:t>
      </w:r>
      <w:r w:rsidR="00696D75">
        <w:t xml:space="preserve"> that the observed effects are not driven</w:t>
      </w:r>
      <w:r w:rsidR="00E965CF">
        <w:t xml:space="preserve"> by</w:t>
      </w:r>
      <w:r w:rsidR="00696D75">
        <w:t xml:space="preserve"> differences in </w:t>
      </w:r>
      <w:r w:rsidR="00E129EE">
        <w:t xml:space="preserve">overall stimulus </w:t>
      </w:r>
      <w:r w:rsidR="00696D75">
        <w:t xml:space="preserve">orientation per se, but </w:t>
      </w:r>
      <w:r w:rsidR="000B1C9E">
        <w:t xml:space="preserve">are driven by the perception of </w:t>
      </w:r>
      <w:r w:rsidR="00E965CF">
        <w:t xml:space="preserve">animacy. </w:t>
      </w:r>
      <w:r w:rsidR="000B1C9E">
        <w:t>T</w:t>
      </w:r>
      <w:r w:rsidR="00E965CF">
        <w:t xml:space="preserve">he animacy effects also did not replicate when using written words instead of visual objects in the search </w:t>
      </w:r>
      <w:r w:rsidR="00E129EE">
        <w:t>task</w:t>
      </w:r>
      <w:r w:rsidR="00E965CF">
        <w:t xml:space="preserve">, showing that the animacy correspondence was driven by </w:t>
      </w:r>
      <w:r w:rsidR="000B1C9E">
        <w:t>genuine visual animacy perception</w:t>
      </w:r>
      <w:r w:rsidR="00E965CF">
        <w:t xml:space="preserve"> rather</w:t>
      </w:r>
      <w:r w:rsidR="000B1C9E">
        <w:t xml:space="preserve"> than</w:t>
      </w:r>
      <w:r w:rsidR="00E965CF">
        <w:t xml:space="preserve"> through semantic</w:t>
      </w:r>
      <w:r w:rsidR="00E129EE">
        <w:t xml:space="preserve"> matching</w:t>
      </w:r>
      <w:r w:rsidR="00E965CF">
        <w:t xml:space="preserve"> or linguistic labelling.</w:t>
      </w:r>
      <w:r>
        <w:t xml:space="preserve"> </w:t>
      </w:r>
      <w:r w:rsidR="000B1C9E">
        <w:t>Eventually</w:t>
      </w:r>
      <w:r w:rsidR="00E129EE">
        <w:t>, the</w:t>
      </w:r>
      <w:r>
        <w:t xml:space="preserve"> authors conclude that their approach isolates animacy from its visual correlates</w:t>
      </w:r>
      <w:r w:rsidR="00E129EE">
        <w:t>, thereby demonstrat</w:t>
      </w:r>
      <w:r w:rsidR="000B1C9E">
        <w:t>ing</w:t>
      </w:r>
      <w:r w:rsidR="00E129EE">
        <w:t xml:space="preserve"> that animacy directly impacts visual cognition</w:t>
      </w:r>
      <w:r>
        <w:t>.</w:t>
      </w:r>
    </w:p>
    <w:p w14:paraId="3B6961C5" w14:textId="0B50D24E" w:rsidR="00AE1047" w:rsidRDefault="00E129EE" w:rsidP="00EA5FB9">
      <w:pPr>
        <w:ind w:firstLine="720"/>
      </w:pPr>
      <w:r>
        <w:t xml:space="preserve">While the stimuli </w:t>
      </w:r>
      <w:r w:rsidR="00E965CF">
        <w:t xml:space="preserve">and experimental designs </w:t>
      </w:r>
      <w:r>
        <w:t xml:space="preserve">are inventive, and the behavioral effects are </w:t>
      </w:r>
      <w:r w:rsidR="00E965CF">
        <w:t xml:space="preserve">clear, </w:t>
      </w:r>
      <w:r w:rsidR="000B1C9E">
        <w:t>I here highlight two</w:t>
      </w:r>
      <w:r w:rsidR="00E965CF">
        <w:t xml:space="preserve"> main limitations that undermine the key theoretical conclusions</w:t>
      </w:r>
      <w:r>
        <w:t xml:space="preserve">. </w:t>
      </w:r>
      <w:r w:rsidR="00E965CF">
        <w:t>Firstly, while</w:t>
      </w:r>
      <w:r>
        <w:t xml:space="preserve"> </w:t>
      </w:r>
      <w:r w:rsidR="00E965CF">
        <w:t>r</w:t>
      </w:r>
      <w:r>
        <w:t>otating an image is an effective way to preserve some (global) visual properties</w:t>
      </w:r>
      <w:r w:rsidR="00E965CF">
        <w:t>, i</w:t>
      </w:r>
      <w:r>
        <w:t xml:space="preserve">t does not preserve </w:t>
      </w:r>
      <w:r w:rsidR="00E965CF">
        <w:t xml:space="preserve">visual characteristics </w:t>
      </w:r>
      <w:r>
        <w:t>as represented at</w:t>
      </w:r>
      <w:r w:rsidR="00E965CF">
        <w:t xml:space="preserve"> the level of</w:t>
      </w:r>
      <w:r>
        <w:t xml:space="preserve"> early </w:t>
      </w:r>
      <w:r w:rsidR="00E965CF">
        <w:t>(retinotopic) visual processing regions</w:t>
      </w:r>
      <w:r>
        <w:t xml:space="preserve">. </w:t>
      </w:r>
      <w:r w:rsidR="00E965CF">
        <w:t xml:space="preserve">Thus, despite their best efforts to equate </w:t>
      </w:r>
      <w:r w:rsidR="00EA5FB9">
        <w:t>visual stimulus characteristics between conditions</w:t>
      </w:r>
      <w:r>
        <w:t xml:space="preserve"> in a pixel-wise manner</w:t>
      </w:r>
      <w:r w:rsidR="00E965CF">
        <w:t xml:space="preserve">, </w:t>
      </w:r>
      <w:r w:rsidR="00EA5FB9">
        <w:t>animate and inanimate objects vastly differed</w:t>
      </w:r>
      <w:r w:rsidR="00E965CF">
        <w:t xml:space="preserve"> </w:t>
      </w:r>
      <w:r w:rsidR="00EA5FB9">
        <w:t>in visual stimulus content</w:t>
      </w:r>
      <w:r>
        <w:t xml:space="preserve"> from the earliest stages of the human visual processing stream onwards</w:t>
      </w:r>
      <w:r w:rsidR="00E965CF">
        <w:t xml:space="preserve">. </w:t>
      </w:r>
      <w:r w:rsidR="006C1AF2" w:rsidRPr="006C1AF2">
        <w:t>Secondly, pictures deliberately engineered to support incompatible identities may be considerably harder to identify than ordinary objects</w:t>
      </w:r>
      <w:r w:rsidR="000B1C9E">
        <w:t xml:space="preserve"> (see </w:t>
      </w:r>
      <w:r w:rsidR="000B1C9E" w:rsidRPr="000B1C9E">
        <w:rPr>
          <w:b/>
          <w:bCs/>
        </w:rPr>
        <w:t>Figure 1</w:t>
      </w:r>
      <w:r w:rsidR="000B1C9E">
        <w:t>)</w:t>
      </w:r>
      <w:r w:rsidR="006C1AF2" w:rsidRPr="006C1AF2">
        <w:t>. How observers solve these visual puzzles need not reflect how they typically recognize objects.</w:t>
      </w:r>
    </w:p>
    <w:p w14:paraId="57B49A2C" w14:textId="77777777" w:rsidR="00EA5FB9" w:rsidRDefault="00EA5FB9" w:rsidP="00EA5FB9">
      <w:pPr>
        <w:ind w:firstLine="720"/>
      </w:pPr>
    </w:p>
    <w:p w14:paraId="16456453" w14:textId="77777777" w:rsidR="00AE1047" w:rsidRDefault="00000000">
      <w:pPr>
        <w:pStyle w:val="Heading2"/>
      </w:pPr>
      <w:r>
        <w:t>Same pixels, different visual input</w:t>
      </w:r>
    </w:p>
    <w:p w14:paraId="425FF8B2" w14:textId="0575732C" w:rsidR="00FB5686" w:rsidRDefault="00EA5FB9">
      <w:r>
        <w:t>Image rotation is often used as control in studies using naturalistic stimuli, as it preserves many visual characteristics (which may drive behavioral and brain responses) while severely impacting the extraction of meaning from the image</w:t>
      </w:r>
      <w:r w:rsidR="00E129EE">
        <w:t xml:space="preserve"> (</w:t>
      </w:r>
      <w:r w:rsidR="00E129EE" w:rsidRPr="00E129EE">
        <w:t>Jolicoeur</w:t>
      </w:r>
      <w:r w:rsidR="00E129EE">
        <w:t>, 1985;</w:t>
      </w:r>
      <w:r w:rsidR="00E129EE" w:rsidRPr="00E129EE">
        <w:t xml:space="preserve"> Lawson, &amp; </w:t>
      </w:r>
      <w:bookmarkStart w:id="0" w:name="_Hlk238748708"/>
      <w:r w:rsidR="00E129EE" w:rsidRPr="00E129EE">
        <w:t>Jolicoeur</w:t>
      </w:r>
      <w:bookmarkEnd w:id="0"/>
      <w:r w:rsidR="00E129EE">
        <w:t xml:space="preserve">, </w:t>
      </w:r>
      <w:r w:rsidR="00E129EE" w:rsidRPr="00E129EE">
        <w:t>1998)</w:t>
      </w:r>
      <w:r>
        <w:t xml:space="preserve">. Indeed, rotation preserves such </w:t>
      </w:r>
      <w:r>
        <w:lastRenderedPageBreak/>
        <w:t xml:space="preserve">global stimulus properties as </w:t>
      </w:r>
      <w:r w:rsidR="006C1946">
        <w:t xml:space="preserve">stimulus curvature, which </w:t>
      </w:r>
      <w:r w:rsidR="006C1946">
        <w:t>is known to partially drive animacy responses (</w:t>
      </w:r>
      <w:proofErr w:type="spellStart"/>
      <w:r w:rsidR="006C1946" w:rsidRPr="006C1946">
        <w:rPr>
          <w:sz w:val="21"/>
          <w:lang w:val="nl-NL"/>
        </w:rPr>
        <w:t>Levin</w:t>
      </w:r>
      <w:proofErr w:type="spellEnd"/>
      <w:r w:rsidR="006C1946" w:rsidRPr="006C1946">
        <w:rPr>
          <w:sz w:val="21"/>
          <w:lang w:val="nl-NL"/>
        </w:rPr>
        <w:t xml:space="preserve">, </w:t>
      </w:r>
      <w:proofErr w:type="spellStart"/>
      <w:r w:rsidR="006C1946" w:rsidRPr="006C1946">
        <w:rPr>
          <w:sz w:val="21"/>
          <w:lang w:val="nl-NL"/>
        </w:rPr>
        <w:t>Takarae</w:t>
      </w:r>
      <w:proofErr w:type="spellEnd"/>
      <w:r w:rsidR="006C1946" w:rsidRPr="006C1946">
        <w:rPr>
          <w:sz w:val="21"/>
          <w:lang w:val="nl-NL"/>
        </w:rPr>
        <w:t xml:space="preserve">, </w:t>
      </w:r>
      <w:r w:rsidR="006C1946">
        <w:rPr>
          <w:sz w:val="21"/>
          <w:lang w:val="nl-NL"/>
        </w:rPr>
        <w:t xml:space="preserve">&amp; </w:t>
      </w:r>
      <w:proofErr w:type="spellStart"/>
      <w:r w:rsidR="006C1946" w:rsidRPr="006C1946">
        <w:rPr>
          <w:sz w:val="21"/>
          <w:lang w:val="nl-NL"/>
        </w:rPr>
        <w:t>Miner</w:t>
      </w:r>
      <w:proofErr w:type="spellEnd"/>
      <w:r w:rsidR="006C1946">
        <w:rPr>
          <w:sz w:val="21"/>
          <w:lang w:val="nl-NL"/>
        </w:rPr>
        <w:t xml:space="preserve">, 2001; </w:t>
      </w:r>
      <w:r w:rsidR="006C1946" w:rsidRPr="006C1946">
        <w:rPr>
          <w:sz w:val="21"/>
          <w:lang w:val="nl-NL"/>
        </w:rPr>
        <w:t xml:space="preserve">Long, </w:t>
      </w:r>
      <w:proofErr w:type="spellStart"/>
      <w:r w:rsidR="006C1946" w:rsidRPr="006C1946">
        <w:rPr>
          <w:sz w:val="21"/>
          <w:lang w:val="nl-NL"/>
        </w:rPr>
        <w:t>Störmer</w:t>
      </w:r>
      <w:proofErr w:type="spellEnd"/>
      <w:r w:rsidR="006C1946" w:rsidRPr="006C1946">
        <w:rPr>
          <w:sz w:val="21"/>
          <w:lang w:val="nl-NL"/>
        </w:rPr>
        <w:t xml:space="preserve">, </w:t>
      </w:r>
      <w:r w:rsidR="006C1946">
        <w:rPr>
          <w:sz w:val="21"/>
          <w:lang w:val="nl-NL"/>
        </w:rPr>
        <w:t xml:space="preserve">&amp; </w:t>
      </w:r>
      <w:r w:rsidR="006C1946" w:rsidRPr="006C1946">
        <w:rPr>
          <w:sz w:val="21"/>
          <w:lang w:val="nl-NL"/>
        </w:rPr>
        <w:t>Alvarez</w:t>
      </w:r>
      <w:r w:rsidR="006C1946">
        <w:rPr>
          <w:sz w:val="21"/>
          <w:lang w:val="nl-NL"/>
        </w:rPr>
        <w:t xml:space="preserve">, 2017; </w:t>
      </w:r>
      <w:proofErr w:type="spellStart"/>
      <w:r w:rsidR="006C1946" w:rsidRPr="006C1946">
        <w:rPr>
          <w:sz w:val="21"/>
          <w:lang w:val="nl-NL"/>
        </w:rPr>
        <w:t>Yetter</w:t>
      </w:r>
      <w:proofErr w:type="spellEnd"/>
      <w:r w:rsidR="006C1946" w:rsidRPr="006C1946">
        <w:rPr>
          <w:sz w:val="21"/>
          <w:lang w:val="nl-NL"/>
        </w:rPr>
        <w:t xml:space="preserve">, Robert, </w:t>
      </w:r>
      <w:proofErr w:type="spellStart"/>
      <w:r w:rsidR="006C1946" w:rsidRPr="006C1946">
        <w:rPr>
          <w:sz w:val="21"/>
          <w:lang w:val="nl-NL"/>
        </w:rPr>
        <w:t>Mammarella</w:t>
      </w:r>
      <w:proofErr w:type="spellEnd"/>
      <w:r w:rsidR="006C1946" w:rsidRPr="006C1946">
        <w:rPr>
          <w:sz w:val="21"/>
          <w:lang w:val="nl-NL"/>
        </w:rPr>
        <w:t xml:space="preserve">, Richmond, </w:t>
      </w:r>
      <w:proofErr w:type="spellStart"/>
      <w:r w:rsidR="006C1946" w:rsidRPr="006C1946">
        <w:rPr>
          <w:sz w:val="21"/>
          <w:lang w:val="nl-NL"/>
        </w:rPr>
        <w:t>Eldridge</w:t>
      </w:r>
      <w:proofErr w:type="spellEnd"/>
      <w:r w:rsidR="006C1946" w:rsidRPr="006C1946">
        <w:rPr>
          <w:sz w:val="21"/>
          <w:lang w:val="nl-NL"/>
        </w:rPr>
        <w:t xml:space="preserve">, </w:t>
      </w:r>
      <w:proofErr w:type="spellStart"/>
      <w:r w:rsidR="006C1946" w:rsidRPr="006C1946">
        <w:rPr>
          <w:sz w:val="21"/>
          <w:lang w:val="nl-NL"/>
        </w:rPr>
        <w:t>Ungerleider</w:t>
      </w:r>
      <w:proofErr w:type="spellEnd"/>
      <w:r w:rsidR="006C1946" w:rsidRPr="006C1946">
        <w:rPr>
          <w:sz w:val="21"/>
          <w:lang w:val="nl-NL"/>
        </w:rPr>
        <w:t xml:space="preserve">, </w:t>
      </w:r>
      <w:r w:rsidR="006C1946">
        <w:rPr>
          <w:sz w:val="21"/>
          <w:lang w:val="nl-NL"/>
        </w:rPr>
        <w:t xml:space="preserve">&amp; </w:t>
      </w:r>
      <w:proofErr w:type="spellStart"/>
      <w:r w:rsidR="006C1946" w:rsidRPr="006C1946">
        <w:rPr>
          <w:sz w:val="21"/>
          <w:lang w:val="nl-NL"/>
        </w:rPr>
        <w:t>Yue</w:t>
      </w:r>
      <w:proofErr w:type="spellEnd"/>
      <w:r w:rsidR="006C1946">
        <w:rPr>
          <w:sz w:val="21"/>
          <w:lang w:val="nl-NL"/>
        </w:rPr>
        <w:t>, 2021</w:t>
      </w:r>
      <w:r w:rsidR="006C1946">
        <w:t>)</w:t>
      </w:r>
      <w:r w:rsidR="006C1946">
        <w:t xml:space="preserve">, as well as </w:t>
      </w:r>
      <w:r>
        <w:t xml:space="preserve">mean luminance, RMS contrast, </w:t>
      </w:r>
      <w:r w:rsidR="006C1946">
        <w:t xml:space="preserve">and </w:t>
      </w:r>
      <w:r>
        <w:t>the radially averaged spatial-frequency spectrum.</w:t>
      </w:r>
      <w:r w:rsidR="000B1C9E">
        <w:t xml:space="preserve"> </w:t>
      </w:r>
      <w:r>
        <w:t xml:space="preserve">However, </w:t>
      </w:r>
      <w:r w:rsidR="00813A19">
        <w:t>as the image rotates, the canonical shape of the image is altered</w:t>
      </w:r>
      <w:r>
        <w:t xml:space="preserve">, </w:t>
      </w:r>
      <w:r w:rsidR="00813A19">
        <w:t xml:space="preserve">edge orientation changes, </w:t>
      </w:r>
      <w:r>
        <w:t xml:space="preserve">and local features change retinal position. </w:t>
      </w:r>
      <w:r w:rsidR="00FB5686">
        <w:t xml:space="preserve">This is important, because the earliest stages of the visual processing stream are characterized by cells that are both position and feature selective. </w:t>
      </w:r>
      <w:r w:rsidR="00813A19">
        <w:t xml:space="preserve">The same edge that was </w:t>
      </w:r>
      <w:r w:rsidR="00FB5686">
        <w:t>vertical and in the left hemifield in one version of the visual anagram, can be</w:t>
      </w:r>
      <w:r w:rsidR="00813A19">
        <w:t xml:space="preserve"> horizontal </w:t>
      </w:r>
      <w:r w:rsidR="00FB5686">
        <w:t>and in the upper hemifield in the other version</w:t>
      </w:r>
      <w:r w:rsidR="00813A19">
        <w:t xml:space="preserve">, </w:t>
      </w:r>
      <w:r w:rsidR="00FB5686">
        <w:t>thereby</w:t>
      </w:r>
      <w:r w:rsidR="00813A19">
        <w:t xml:space="preserve"> </w:t>
      </w:r>
      <w:r w:rsidR="006C43F5">
        <w:t xml:space="preserve">activating different neurons </w:t>
      </w:r>
      <w:r w:rsidR="00FB5686">
        <w:t>in the lateral geniculate nucleus (</w:t>
      </w:r>
      <w:r w:rsidR="00FB5686" w:rsidRPr="00FB5686">
        <w:t>Cheong</w:t>
      </w:r>
      <w:r w:rsidR="00FB5686">
        <w:t xml:space="preserve">, </w:t>
      </w:r>
      <w:proofErr w:type="spellStart"/>
      <w:r w:rsidR="00FB5686" w:rsidRPr="00FB5686">
        <w:t>Tailby</w:t>
      </w:r>
      <w:proofErr w:type="spellEnd"/>
      <w:r w:rsidR="00FB5686" w:rsidRPr="00FB5686">
        <w:t>, Solomon, &amp; Martin, 2013</w:t>
      </w:r>
      <w:r w:rsidR="00FB5686">
        <w:t xml:space="preserve">; </w:t>
      </w:r>
      <w:r w:rsidR="00FB5686" w:rsidRPr="00FB5686">
        <w:t>Schneider, Richter, &amp; Kastner, 2004)</w:t>
      </w:r>
      <w:r w:rsidR="00FB5686">
        <w:t xml:space="preserve">, the striate and extra-striate visual cortex (Hubel &amp; Wiesel, 1968; Levitt, Kiper, &amp; </w:t>
      </w:r>
      <w:proofErr w:type="spellStart"/>
      <w:r w:rsidR="00FB5686">
        <w:t>Movshon</w:t>
      </w:r>
      <w:proofErr w:type="spellEnd"/>
      <w:r w:rsidR="00FB5686">
        <w:t xml:space="preserve">, 1994), and even </w:t>
      </w:r>
      <w:r w:rsidR="006C43F5">
        <w:t>different</w:t>
      </w:r>
      <w:r w:rsidR="002D7378">
        <w:t>ially activating</w:t>
      </w:r>
      <w:r w:rsidR="006C43F5">
        <w:t xml:space="preserve"> </w:t>
      </w:r>
      <w:r w:rsidR="002D7378">
        <w:t xml:space="preserve">orientation-dependent </w:t>
      </w:r>
      <w:r w:rsidR="006C43F5">
        <w:t>retinal ganglion cells</w:t>
      </w:r>
      <w:r w:rsidR="002D7378">
        <w:t xml:space="preserve"> (</w:t>
      </w:r>
      <w:r w:rsidR="002D7378" w:rsidRPr="002D7378">
        <w:t xml:space="preserve">Passaglia, Troy, </w:t>
      </w:r>
      <w:proofErr w:type="spellStart"/>
      <w:r w:rsidR="002D7378" w:rsidRPr="002D7378">
        <w:t>Rüttiger</w:t>
      </w:r>
      <w:proofErr w:type="spellEnd"/>
      <w:r w:rsidR="002D7378" w:rsidRPr="002D7378">
        <w:t xml:space="preserve">, </w:t>
      </w:r>
      <w:r w:rsidR="002D7378">
        <w:t xml:space="preserve">&amp; </w:t>
      </w:r>
      <w:r w:rsidR="002D7378" w:rsidRPr="002D7378">
        <w:t>Lee, 2002</w:t>
      </w:r>
      <w:r w:rsidR="002D7378">
        <w:t>)</w:t>
      </w:r>
      <w:r w:rsidR="006C43F5">
        <w:t xml:space="preserve">. </w:t>
      </w:r>
      <w:r w:rsidR="00B8415A">
        <w:t xml:space="preserve">Thus, while visual anagrams preserve the pixel-wise output of the stimuli across animate and inanimate stimuli on the screen, </w:t>
      </w:r>
      <w:r w:rsidR="00F81E28">
        <w:t>the visual information provided by both variants of a visual anagram</w:t>
      </w:r>
      <w:r w:rsidR="00B8415A">
        <w:t xml:space="preserve"> vastly differ</w:t>
      </w:r>
      <w:r w:rsidR="00F81E28">
        <w:t>s</w:t>
      </w:r>
      <w:r w:rsidR="00B8415A">
        <w:t xml:space="preserve"> </w:t>
      </w:r>
      <w:r w:rsidR="00DE62BF">
        <w:t xml:space="preserve">from the retinae onwards and </w:t>
      </w:r>
      <w:r w:rsidR="00B8415A">
        <w:t>throughout all stages of visual analysis in the brain.</w:t>
      </w:r>
    </w:p>
    <w:p w14:paraId="44D90A5D" w14:textId="1A603267" w:rsidR="00AE1047" w:rsidRDefault="00DE62BF" w:rsidP="008911D7">
      <w:pPr>
        <w:ind w:firstLine="720"/>
      </w:pPr>
      <w:r>
        <w:t xml:space="preserve">Going beyond </w:t>
      </w:r>
      <w:r w:rsidR="00F81E28">
        <w:t xml:space="preserve">differences in </w:t>
      </w:r>
      <w:r>
        <w:t>local stimulus features, rotation also changes global stimulus properties. T</w:t>
      </w:r>
      <w:r w:rsidR="00B8415A">
        <w:t xml:space="preserve">he same elongated object </w:t>
      </w:r>
      <w:r>
        <w:t>may</w:t>
      </w:r>
      <w:r w:rsidR="00B8415A">
        <w:t xml:space="preserve"> span the upper and lower hemifields </w:t>
      </w:r>
      <w:r>
        <w:t>in one configuration, and the</w:t>
      </w:r>
      <w:r w:rsidR="00B8415A">
        <w:t xml:space="preserve"> left and right hemifields</w:t>
      </w:r>
      <w:r>
        <w:t xml:space="preserve"> in the other</w:t>
      </w:r>
      <w:r w:rsidR="00B8415A">
        <w:t>.</w:t>
      </w:r>
      <w:r>
        <w:t xml:space="preserve"> </w:t>
      </w:r>
      <w:r w:rsidR="00D83AA6">
        <w:t>This has implications for the earliest stages of visual processing onwards</w:t>
      </w:r>
      <w:r>
        <w:t>, because the visual field is not sampled uniformly.</w:t>
      </w:r>
      <w:r w:rsidR="00D83AA6">
        <w:t xml:space="preserve"> </w:t>
      </w:r>
      <w:r>
        <w:t xml:space="preserve">At matched eccentricity, acuity is generally better along the horizontal than vertical meridian, and </w:t>
      </w:r>
      <w:r w:rsidR="00D83AA6">
        <w:t>along the lower compared to upper meridian</w:t>
      </w:r>
      <w:r>
        <w:t xml:space="preserve"> (</w:t>
      </w:r>
      <w:hyperlink r:id="rId12">
        <w:r>
          <w:t>Barbot</w:t>
        </w:r>
        <w:r w:rsidR="00D83AA6">
          <w:t>, Xue, &amp; Carrasco</w:t>
        </w:r>
        <w:r>
          <w:t>, 2021</w:t>
        </w:r>
      </w:hyperlink>
      <w:r>
        <w:t>)</w:t>
      </w:r>
      <w:r w:rsidR="00DE7E00">
        <w:t xml:space="preserve">, corresponding to variations in V1 cortical magnification around the visual field </w:t>
      </w:r>
      <w:r>
        <w:t>(</w:t>
      </w:r>
      <w:r w:rsidR="00DE7E00">
        <w:t xml:space="preserve">Benson, </w:t>
      </w:r>
      <w:proofErr w:type="spellStart"/>
      <w:r w:rsidR="00DE7E00">
        <w:t>Kupers</w:t>
      </w:r>
      <w:proofErr w:type="spellEnd"/>
      <w:r w:rsidR="00DE7E00">
        <w:t>, Barbot, Carrasco, &amp; Winawer, 2021</w:t>
      </w:r>
      <w:r>
        <w:t>)</w:t>
      </w:r>
      <w:r w:rsidR="00DE7E00">
        <w:t>, and potentially even to differences in retinal sampling (</w:t>
      </w:r>
      <w:proofErr w:type="spellStart"/>
      <w:r w:rsidR="00DE7E00">
        <w:t>Kupers</w:t>
      </w:r>
      <w:proofErr w:type="spellEnd"/>
      <w:r w:rsidR="00DE7E00">
        <w:t>, Benson, Carrasco, &amp; Winawer, 2022</w:t>
      </w:r>
      <w:r>
        <w:t xml:space="preserve">). </w:t>
      </w:r>
      <w:r w:rsidR="004C57C9">
        <w:t>Moreover, different parts of the visual field are also differentially sensitive to specific visual features. Orientation preferences considerably vary across the visual field (</w:t>
      </w:r>
      <w:r w:rsidR="007B4C8E">
        <w:t xml:space="preserve">Sasaki, </w:t>
      </w:r>
      <w:proofErr w:type="spellStart"/>
      <w:r w:rsidR="007B4C8E">
        <w:t>Rajimehr</w:t>
      </w:r>
      <w:proofErr w:type="spellEnd"/>
      <w:r w:rsidR="007B4C8E">
        <w:t xml:space="preserve">, Kim, Ekstrom, </w:t>
      </w:r>
      <w:proofErr w:type="spellStart"/>
      <w:r w:rsidR="007B4C8E">
        <w:t>Vanduffel</w:t>
      </w:r>
      <w:proofErr w:type="spellEnd"/>
      <w:r w:rsidR="007B4C8E">
        <w:t>, &amp; Tootell, 2006</w:t>
      </w:r>
      <w:r w:rsidR="004C57C9">
        <w:t xml:space="preserve">; </w:t>
      </w:r>
      <w:r w:rsidR="007B4C8E">
        <w:t>Roth, Kay, &amp; Merriam, 2022</w:t>
      </w:r>
      <w:r w:rsidR="004C57C9">
        <w:t xml:space="preserve">). </w:t>
      </w:r>
      <w:r w:rsidR="008911D7">
        <w:t>S</w:t>
      </w:r>
      <w:r w:rsidR="004C57C9">
        <w:t xml:space="preserve">uch </w:t>
      </w:r>
      <w:r w:rsidR="008911D7">
        <w:t>visual field location-specific selectivity</w:t>
      </w:r>
      <w:r w:rsidR="004C57C9">
        <w:t xml:space="preserve"> </w:t>
      </w:r>
      <w:r w:rsidR="008911D7">
        <w:t>is</w:t>
      </w:r>
      <w:r w:rsidR="004C57C9">
        <w:t xml:space="preserve"> even observed for object-level visual content: images of </w:t>
      </w:r>
      <w:r w:rsidR="004C57C9" w:rsidRPr="004C57C9">
        <w:t>isolated eyes and mouths are recognized better</w:t>
      </w:r>
      <w:r w:rsidR="008911D7">
        <w:t>,</w:t>
      </w:r>
      <w:r w:rsidR="004C57C9" w:rsidRPr="004C57C9">
        <w:t xml:space="preserve"> </w:t>
      </w:r>
      <w:r w:rsidR="004C57C9">
        <w:t>and their neural representations are more discriminable</w:t>
      </w:r>
      <w:r w:rsidR="008911D7">
        <w:t>,</w:t>
      </w:r>
      <w:r w:rsidR="004C57C9">
        <w:t xml:space="preserve"> </w:t>
      </w:r>
      <w:r w:rsidR="004C57C9" w:rsidRPr="004C57C9">
        <w:t xml:space="preserve">at their typical </w:t>
      </w:r>
      <w:r w:rsidR="008911D7">
        <w:t xml:space="preserve">(i.e., </w:t>
      </w:r>
      <w:r w:rsidR="004C57C9" w:rsidRPr="004C57C9">
        <w:t>upper- and lower</w:t>
      </w:r>
      <w:r w:rsidR="008911D7">
        <w:t xml:space="preserve">) visual </w:t>
      </w:r>
      <w:r w:rsidR="004C57C9" w:rsidRPr="004C57C9">
        <w:t xml:space="preserve">field locations </w:t>
      </w:r>
      <w:r w:rsidR="004C57C9">
        <w:t xml:space="preserve">(de Haas, Schwarzkopf, Alvarez, Lawson, Henriksson, </w:t>
      </w:r>
      <w:proofErr w:type="spellStart"/>
      <w:r w:rsidR="004C57C9">
        <w:t>Kriegeskorte</w:t>
      </w:r>
      <w:proofErr w:type="spellEnd"/>
      <w:r w:rsidR="004C57C9">
        <w:t>, &amp; Rees, 2016)</w:t>
      </w:r>
      <w:r w:rsidR="004C57C9" w:rsidRPr="004C57C9">
        <w:t>.</w:t>
      </w:r>
      <w:r w:rsidR="004C57C9">
        <w:t xml:space="preserve"> </w:t>
      </w:r>
      <w:r>
        <w:t xml:space="preserve">Thus, spatial heterogeneity extends from retinal sampling to cortical feature selectivity. </w:t>
      </w:r>
      <w:r w:rsidR="008911D7">
        <w:t>Rotating an image thus drastically alters how it is processed from the retinae onwards.</w:t>
      </w:r>
    </w:p>
    <w:p w14:paraId="7C008710" w14:textId="63F46419" w:rsidR="00CD75C3" w:rsidRDefault="00000000" w:rsidP="00A962CA">
      <w:pPr>
        <w:ind w:firstLine="720"/>
      </w:pPr>
      <w:r>
        <w:t xml:space="preserve">Experiment 7 directly </w:t>
      </w:r>
      <w:r w:rsidR="00CD75C3">
        <w:t>addresses</w:t>
      </w:r>
      <w:r>
        <w:t xml:space="preserve"> </w:t>
      </w:r>
      <w:r w:rsidR="00CD75C3">
        <w:t xml:space="preserve">global image </w:t>
      </w:r>
      <w:r>
        <w:t xml:space="preserve">orientation as a possible confound. </w:t>
      </w:r>
      <w:r w:rsidR="00CD75C3">
        <w:t>This control experiment shows</w:t>
      </w:r>
      <w:r w:rsidR="008911D7">
        <w:t xml:space="preserve"> that animacy-like effect do not replicate when the visual anagrams are replaced by convex-hull silhouettes </w:t>
      </w:r>
      <w:r w:rsidR="00CD75C3">
        <w:t xml:space="preserve">that </w:t>
      </w:r>
      <w:r w:rsidR="005C00B4">
        <w:t>hamper the extraction of</w:t>
      </w:r>
      <w:r w:rsidR="00CD75C3">
        <w:t xml:space="preserve"> animacy while </w:t>
      </w:r>
      <w:r w:rsidR="008911D7">
        <w:t xml:space="preserve">preserving their spatial </w:t>
      </w:r>
      <w:r w:rsidR="00CD75C3">
        <w:t xml:space="preserve">layout. However, these findings merely show that global shape alone is not sufficient for the visual anagrams to </w:t>
      </w:r>
      <w:r w:rsidR="00CD75C3">
        <w:lastRenderedPageBreak/>
        <w:t xml:space="preserve">be </w:t>
      </w:r>
      <w:r w:rsidR="00783948">
        <w:t>processed</w:t>
      </w:r>
      <w:r w:rsidR="00CD75C3">
        <w:t xml:space="preserve"> as animate versus inanimate. </w:t>
      </w:r>
      <w:r w:rsidR="005272B7">
        <w:t>It</w:t>
      </w:r>
      <w:r w:rsidR="00CD75C3">
        <w:t xml:space="preserve"> does not </w:t>
      </w:r>
      <w:r w:rsidR="005C00B4">
        <w:t xml:space="preserve">exclude the possibility </w:t>
      </w:r>
      <w:r w:rsidR="00CD75C3">
        <w:t xml:space="preserve">that </w:t>
      </w:r>
      <w:r w:rsidR="005C00B4">
        <w:t xml:space="preserve">the difference between animate and inanimate variants of the visual anagrams </w:t>
      </w:r>
      <w:r w:rsidR="00783948">
        <w:t xml:space="preserve">observed </w:t>
      </w:r>
      <w:r w:rsidR="005C00B4">
        <w:t xml:space="preserve">in the other experiments was caused by differences in visual characteristic </w:t>
      </w:r>
      <w:r w:rsidR="00A962CA">
        <w:t>brought about</w:t>
      </w:r>
      <w:r w:rsidR="005C00B4">
        <w:t xml:space="preserve"> by image rotation.</w:t>
      </w:r>
    </w:p>
    <w:p w14:paraId="131329FD" w14:textId="02EFC57D" w:rsidR="00AE1047" w:rsidRDefault="00A962CA" w:rsidP="00A962CA">
      <w:pPr>
        <w:ind w:firstLine="720"/>
      </w:pPr>
      <w:r>
        <w:t xml:space="preserve">Taken together, rotation of the visual anagrams inevitably creates differences in visual image characteristics at all levels of the visual processing hierarchy, which </w:t>
      </w:r>
      <w:r w:rsidR="00783948">
        <w:t>are not necessarily less distinct than</w:t>
      </w:r>
      <w:r>
        <w:t xml:space="preserve"> </w:t>
      </w:r>
      <w:r w:rsidR="00783948">
        <w:t xml:space="preserve">responses produced by </w:t>
      </w:r>
      <w:r>
        <w:t xml:space="preserve">two </w:t>
      </w:r>
      <w:r w:rsidR="00783948">
        <w:t>different source</w:t>
      </w:r>
      <w:r>
        <w:t xml:space="preserve"> images</w:t>
      </w:r>
      <w:r w:rsidR="00783948">
        <w:t xml:space="preserve"> from</w:t>
      </w:r>
      <w:r>
        <w:t xml:space="preserve"> the animate and inanimate conditions.</w:t>
      </w:r>
    </w:p>
    <w:p w14:paraId="6A896FC2" w14:textId="77777777" w:rsidR="005C04A8" w:rsidRDefault="005C04A8"/>
    <w:p w14:paraId="613E975D" w14:textId="632B3E6E" w:rsidR="00AE1047" w:rsidRDefault="00000000">
      <w:pPr>
        <w:pStyle w:val="Heading2"/>
      </w:pPr>
      <w:r>
        <w:t xml:space="preserve">From </w:t>
      </w:r>
      <w:r w:rsidR="0013157F">
        <w:t xml:space="preserve">solving </w:t>
      </w:r>
      <w:r>
        <w:t xml:space="preserve">visual puzzles to </w:t>
      </w:r>
      <w:r w:rsidR="0013157F">
        <w:t>regular</w:t>
      </w:r>
      <w:r>
        <w:t xml:space="preserve"> object</w:t>
      </w:r>
      <w:r w:rsidR="0013157F">
        <w:t xml:space="preserve"> perception</w:t>
      </w:r>
    </w:p>
    <w:p w14:paraId="7959D698" w14:textId="77777777" w:rsidR="007E14B6" w:rsidRDefault="00000000" w:rsidP="00784BCD">
      <w:r>
        <w:t xml:space="preserve">A second concern </w:t>
      </w:r>
      <w:r w:rsidR="005C04A8">
        <w:t xml:space="preserve">pertains to the </w:t>
      </w:r>
      <w:r w:rsidR="00783948">
        <w:t>generalizability of object recognition with visual anagrams compared to regular objects</w:t>
      </w:r>
      <w:r>
        <w:t xml:space="preserve">. </w:t>
      </w:r>
      <w:r w:rsidR="00783948">
        <w:t xml:space="preserve">Firstly, </w:t>
      </w:r>
      <w:r w:rsidR="00784BCD" w:rsidRPr="00784BCD">
        <w:t>generalizability is limited by the small stimulus set, which comprised only six visual-anagram pairs. Rather than reflecting a category-level effect of animacy, the aggregate results could therefore be driven disproportionately by one or two idiosyncratic pairs (</w:t>
      </w:r>
      <w:r w:rsidR="007E14B6">
        <w:t>Wells, &amp; Windschitl, 1999; Judd, Westfall, &amp; Kenny, 2012</w:t>
      </w:r>
      <w:r w:rsidR="007E14B6">
        <w:t>; Westfall, Judd, &amp; Kenny, 2015</w:t>
      </w:r>
      <w:r w:rsidR="007E14B6">
        <w:t>; Yarkoni, 2022</w:t>
      </w:r>
      <w:r w:rsidR="00784BCD" w:rsidRPr="00784BCD">
        <w:t xml:space="preserve">). This concern is amplified for complex naturalistic images, </w:t>
      </w:r>
      <w:r w:rsidR="00784BCD">
        <w:t>which contain</w:t>
      </w:r>
      <w:r w:rsidR="00784BCD" w:rsidRPr="00784BCD">
        <w:t xml:space="preserve"> substantial image-level variation (Coggan et al., 2019). </w:t>
      </w:r>
    </w:p>
    <w:p w14:paraId="5490878B" w14:textId="39B53FB5" w:rsidR="009D4892" w:rsidRDefault="00784BCD" w:rsidP="007E14B6">
      <w:pPr>
        <w:ind w:firstLine="720"/>
      </w:pPr>
      <w:r w:rsidRPr="00784BCD">
        <w:t xml:space="preserve">More fundamentally, however, </w:t>
      </w:r>
      <w:r>
        <w:t>it also remains</w:t>
      </w:r>
      <w:r w:rsidRPr="00784BCD">
        <w:t xml:space="preserve"> unclear whether visual anagrams engage the same recognition processes as ordinary objects.</w:t>
      </w:r>
      <w:r w:rsidR="004E1884">
        <w:t xml:space="preserve"> </w:t>
      </w:r>
      <w:r>
        <w:t>Visual anagrams</w:t>
      </w:r>
      <w:r w:rsidR="00000000">
        <w:t xml:space="preserve"> are unusual by construction: the same </w:t>
      </w:r>
      <w:r w:rsidR="0013157F">
        <w:t>features are shaped to</w:t>
      </w:r>
      <w:r w:rsidR="00000000">
        <w:t xml:space="preserve"> support two incompatible readings</w:t>
      </w:r>
      <w:r w:rsidR="0013157F">
        <w:t xml:space="preserve"> of the image</w:t>
      </w:r>
      <w:r w:rsidR="00000000">
        <w:t xml:space="preserve">. </w:t>
      </w:r>
      <w:r>
        <w:t>Even successful r</w:t>
      </w:r>
      <w:r w:rsidR="00490879">
        <w:t>ecognition of a</w:t>
      </w:r>
      <w:r w:rsidR="00490879" w:rsidRPr="00490879">
        <w:t xml:space="preserve">mbiguous </w:t>
      </w:r>
      <w:r w:rsidR="00490879">
        <w:t>or</w:t>
      </w:r>
      <w:r w:rsidR="00490879" w:rsidRPr="00490879">
        <w:t xml:space="preserve"> impoverished images </w:t>
      </w:r>
      <w:r w:rsidR="00490879">
        <w:t xml:space="preserve">has been shown to </w:t>
      </w:r>
      <w:r w:rsidR="00490879" w:rsidRPr="00490879">
        <w:t>involve different temporal dynamics</w:t>
      </w:r>
      <w:r>
        <w:t>,</w:t>
      </w:r>
      <w:r w:rsidR="00490879" w:rsidRPr="00490879">
        <w:t xml:space="preserve"> and a greater contribution from prior knowledge and recurrent processing</w:t>
      </w:r>
      <w:r>
        <w:t>,</w:t>
      </w:r>
      <w:r w:rsidR="00490879">
        <w:t xml:space="preserve"> </w:t>
      </w:r>
      <w:r w:rsidR="007E14B6">
        <w:t>compared to</w:t>
      </w:r>
      <w:r w:rsidR="00490879">
        <w:t xml:space="preserve"> recognition of unambiguous images (</w:t>
      </w:r>
      <w:r w:rsidR="00490879" w:rsidRPr="00490879">
        <w:t>Flounders, González-García, Hardstone, &amp; He</w:t>
      </w:r>
      <w:r w:rsidR="00490879">
        <w:t xml:space="preserve">, </w:t>
      </w:r>
      <w:r w:rsidR="00490879" w:rsidRPr="00490879">
        <w:t>2019</w:t>
      </w:r>
      <w:r w:rsidR="00490879">
        <w:t xml:space="preserve">; </w:t>
      </w:r>
      <w:r w:rsidR="00490879" w:rsidRPr="00490879">
        <w:t xml:space="preserve">Tang, </w:t>
      </w:r>
      <w:proofErr w:type="spellStart"/>
      <w:r w:rsidR="00490879" w:rsidRPr="00490879">
        <w:t>Buia</w:t>
      </w:r>
      <w:proofErr w:type="spellEnd"/>
      <w:r w:rsidR="00490879" w:rsidRPr="00490879">
        <w:t>, Madhavan, Crone, Madsen, Anderson, &amp; Kreiman</w:t>
      </w:r>
      <w:r w:rsidR="00490879">
        <w:t xml:space="preserve">, </w:t>
      </w:r>
      <w:r w:rsidR="00490879" w:rsidRPr="00490879">
        <w:t>2014</w:t>
      </w:r>
      <w:r w:rsidR="0013157F">
        <w:t xml:space="preserve">; </w:t>
      </w:r>
      <w:r w:rsidR="0013157F" w:rsidRPr="0013157F">
        <w:t xml:space="preserve">Rajaei, </w:t>
      </w:r>
      <w:proofErr w:type="spellStart"/>
      <w:r w:rsidR="0013157F" w:rsidRPr="0013157F">
        <w:t>Mohsenzadeh</w:t>
      </w:r>
      <w:proofErr w:type="spellEnd"/>
      <w:r w:rsidR="0013157F" w:rsidRPr="0013157F">
        <w:t xml:space="preserve">, Ebrahimpour, &amp; </w:t>
      </w:r>
      <w:proofErr w:type="spellStart"/>
      <w:r w:rsidR="0013157F" w:rsidRPr="0013157F">
        <w:t>Khaligh</w:t>
      </w:r>
      <w:proofErr w:type="spellEnd"/>
      <w:r w:rsidR="0013157F" w:rsidRPr="0013157F">
        <w:t>-Razavi</w:t>
      </w:r>
      <w:r w:rsidR="0013157F">
        <w:t xml:space="preserve">, </w:t>
      </w:r>
      <w:r w:rsidR="0013157F" w:rsidRPr="0013157F">
        <w:t>2019</w:t>
      </w:r>
      <w:r w:rsidR="00490879" w:rsidRPr="00490879">
        <w:t>)</w:t>
      </w:r>
      <w:r w:rsidR="007E14B6">
        <w:t>, with recognition processes</w:t>
      </w:r>
      <w:r w:rsidR="00490879">
        <w:t xml:space="preserve"> strongly </w:t>
      </w:r>
      <w:r w:rsidR="007E14B6">
        <w:t>varying</w:t>
      </w:r>
      <w:r w:rsidR="00490879">
        <w:t xml:space="preserve"> as a function of the degree or type of ambiguity (</w:t>
      </w:r>
      <w:r w:rsidR="00490879" w:rsidRPr="00490879">
        <w:t xml:space="preserve">Linde-Domingo, Ortiz-Tudela, </w:t>
      </w:r>
      <w:proofErr w:type="spellStart"/>
      <w:r w:rsidR="00490879" w:rsidRPr="00490879">
        <w:t>Völler</w:t>
      </w:r>
      <w:proofErr w:type="spellEnd"/>
      <w:r w:rsidR="00490879" w:rsidRPr="00490879">
        <w:t xml:space="preserve">, Hebart, &amp; González-García, 2026). </w:t>
      </w:r>
    </w:p>
    <w:p w14:paraId="26193CB2" w14:textId="35E4CEF4" w:rsidR="00A962CA" w:rsidRDefault="00490879" w:rsidP="009D4892">
      <w:pPr>
        <w:ind w:firstLine="720"/>
      </w:pPr>
      <w:r w:rsidRPr="00490879">
        <w:t xml:space="preserve">These findings raise the possibility that extracting an identity from </w:t>
      </w:r>
      <w:r w:rsidR="0013157F">
        <w:t xml:space="preserve">the current set of visual anagrams </w:t>
      </w:r>
      <w:r w:rsidR="007E14B6">
        <w:t>prompts highly atypical</w:t>
      </w:r>
      <w:r w:rsidRPr="00490879">
        <w:t xml:space="preserve"> recognition</w:t>
      </w:r>
      <w:r w:rsidR="0013157F">
        <w:t xml:space="preserve"> processes</w:t>
      </w:r>
      <w:r w:rsidRPr="00490879">
        <w:t>.</w:t>
      </w:r>
      <w:r w:rsidR="0013157F">
        <w:t xml:space="preserve"> </w:t>
      </w:r>
      <w:r w:rsidR="007E14B6">
        <w:t>W</w:t>
      </w:r>
      <w:r w:rsidRPr="00490879">
        <w:t xml:space="preserve">ithout directly comparing </w:t>
      </w:r>
      <w:r w:rsidR="0013157F">
        <w:t xml:space="preserve">such factors as </w:t>
      </w:r>
      <w:r w:rsidRPr="00490879">
        <w:t xml:space="preserve">recognition </w:t>
      </w:r>
      <w:r w:rsidR="0013157F">
        <w:t>dynamics</w:t>
      </w:r>
      <w:r w:rsidRPr="00490879">
        <w:t xml:space="preserve"> and </w:t>
      </w:r>
      <w:r w:rsidR="0013157F">
        <w:t xml:space="preserve">representational content </w:t>
      </w:r>
      <w:r w:rsidRPr="00490879">
        <w:t xml:space="preserve">with those </w:t>
      </w:r>
      <w:r w:rsidR="007E14B6">
        <w:t>evoked by</w:t>
      </w:r>
      <w:r w:rsidRPr="00490879">
        <w:t xml:space="preserve"> ordinary object images, generalization from </w:t>
      </w:r>
      <w:r w:rsidR="007E14B6">
        <w:t>these visual anagrams</w:t>
      </w:r>
      <w:r w:rsidRPr="00490879">
        <w:t xml:space="preserve"> to typical animacy processing remains </w:t>
      </w:r>
      <w:r w:rsidR="007E14B6">
        <w:t>premature</w:t>
      </w:r>
      <w:r w:rsidR="0013157F">
        <w:t>; a problem that is further exacerbated by the small number of exemplars used in this study.</w:t>
      </w:r>
    </w:p>
    <w:p w14:paraId="7CCF7EEE" w14:textId="77777777" w:rsidR="00E61BAB" w:rsidRDefault="00E61BAB"/>
    <w:p w14:paraId="67FD0368" w14:textId="3CA22D5D" w:rsidR="006C1AF2" w:rsidRDefault="007E14B6" w:rsidP="00F81E28">
      <w:pPr>
        <w:pStyle w:val="Heading2"/>
      </w:pPr>
      <w:r>
        <w:lastRenderedPageBreak/>
        <w:t>M</w:t>
      </w:r>
      <w:r w:rsidR="005272B7">
        <w:t>oving forward</w:t>
      </w:r>
    </w:p>
    <w:p w14:paraId="72430749" w14:textId="77A7D868" w:rsidR="009E2B42" w:rsidRDefault="009E2B42" w:rsidP="009E2B42">
      <w:r w:rsidRPr="009E2B42">
        <w:t xml:space="preserve">Converging evidence from complementary methods is essential, and the search for novel ways to address longstanding methodological problems </w:t>
      </w:r>
      <w:r w:rsidR="007E14B6">
        <w:t>is laudable</w:t>
      </w:r>
      <w:r w:rsidRPr="009E2B42">
        <w:t xml:space="preserve">. Image inversion has </w:t>
      </w:r>
      <w:r>
        <w:t>often proven to be a useful control condition</w:t>
      </w:r>
      <w:r w:rsidRPr="009E2B42">
        <w:t xml:space="preserve"> precisely because it preserves many visual properties while disrupting the extraction of meaning, even though it does not control for all differences in visual processing. Visual anagrams inherit this limitation: because rotation changes the orientations and retinotopic positions of local features, the two variants may pragmatically be regarded as different visual stimuli, whose </w:t>
      </w:r>
      <w:r w:rsidR="007E14B6">
        <w:t xml:space="preserve">post-rotation </w:t>
      </w:r>
      <w:r w:rsidRPr="009E2B42">
        <w:t xml:space="preserve">visual characteristics can systematically covary with animacy </w:t>
      </w:r>
      <w:r>
        <w:t xml:space="preserve">(Boger &amp; Firestone, 2026), real-world size (Boger, &amp; Firestone, 2025), or other higher-level properties, </w:t>
      </w:r>
      <w:r w:rsidRPr="009E2B42">
        <w:t xml:space="preserve">just as they would across two distinct image sets. Moreover, whereas standard inversion paradigms preserve a recognizable, intact image in the upright condition, visual anagrams </w:t>
      </w:r>
      <w:r w:rsidR="007E14B6">
        <w:t>degrade even the ‘intact’ images, increasing ambiguity and hampering recognizability</w:t>
      </w:r>
      <w:r w:rsidRPr="009E2B42">
        <w:t xml:space="preserve"> without </w:t>
      </w:r>
      <w:r w:rsidR="007E14B6">
        <w:t xml:space="preserve">necessarily </w:t>
      </w:r>
      <w:r w:rsidRPr="009E2B42">
        <w:t xml:space="preserve">providing </w:t>
      </w:r>
      <w:r w:rsidR="007E14B6">
        <w:t>a</w:t>
      </w:r>
      <w:r w:rsidRPr="009E2B42">
        <w:t xml:space="preserve"> stronger control over the visual input</w:t>
      </w:r>
      <w:r w:rsidR="007E14B6">
        <w:t xml:space="preserve"> (except perhaps for global effects of curvature)</w:t>
      </w:r>
      <w:r w:rsidRPr="009E2B42">
        <w:t xml:space="preserve">. </w:t>
      </w:r>
    </w:p>
    <w:p w14:paraId="024B54A7" w14:textId="6494C78C" w:rsidR="009E2B42" w:rsidRDefault="009E2B42" w:rsidP="009E2B42">
      <w:pPr>
        <w:ind w:firstLine="720"/>
      </w:pPr>
      <w:r>
        <w:t>Various</w:t>
      </w:r>
      <w:r w:rsidRPr="009E2B42">
        <w:t xml:space="preserve"> methods address these problems through different trade-offs. Binocular rivalry or spatial-frequency hybrid images </w:t>
      </w:r>
      <w:r>
        <w:t>would allow to</w:t>
      </w:r>
      <w:r w:rsidRPr="009E2B42">
        <w:t xml:space="preserve"> </w:t>
      </w:r>
      <w:r>
        <w:t>keep</w:t>
      </w:r>
      <w:r w:rsidRPr="009E2B42">
        <w:t xml:space="preserve"> retinal stimulation </w:t>
      </w:r>
      <w:r>
        <w:t>actually identical</w:t>
      </w:r>
      <w:r w:rsidRPr="009E2B42">
        <w:t xml:space="preserve"> across perceptual outcomes</w:t>
      </w:r>
      <w:r w:rsidR="00684BDD">
        <w:t>, although they may also evoke ambiguous percepts</w:t>
      </w:r>
      <w:r>
        <w:t>;</w:t>
      </w:r>
      <w:r w:rsidRPr="009E2B42">
        <w:t xml:space="preserve"> </w:t>
      </w:r>
      <w:r>
        <w:t>in contrast</w:t>
      </w:r>
      <w:r w:rsidR="00684BDD">
        <w:t>,</w:t>
      </w:r>
      <w:r>
        <w:t xml:space="preserve"> </w:t>
      </w:r>
      <w:r w:rsidRPr="009E2B42">
        <w:t xml:space="preserve">representational similarity analysis </w:t>
      </w:r>
      <w:r w:rsidR="00F56974">
        <w:t>(</w:t>
      </w:r>
      <w:proofErr w:type="spellStart"/>
      <w:r w:rsidR="00F56974" w:rsidRPr="009E2B42">
        <w:t>Kriegeskorte</w:t>
      </w:r>
      <w:proofErr w:type="spellEnd"/>
      <w:r w:rsidR="00F56974" w:rsidRPr="009E2B42">
        <w:t xml:space="preserve">, Mur, &amp; </w:t>
      </w:r>
      <w:proofErr w:type="spellStart"/>
      <w:r w:rsidR="00F56974" w:rsidRPr="009E2B42">
        <w:t>Bandettini</w:t>
      </w:r>
      <w:proofErr w:type="spellEnd"/>
      <w:r w:rsidR="00F56974" w:rsidRPr="009E2B42">
        <w:t>, 2008</w:t>
      </w:r>
      <w:r w:rsidR="00F56974">
        <w:t xml:space="preserve">) </w:t>
      </w:r>
      <w:r>
        <w:t>would allow presenting ordinary naturalistic images, while</w:t>
      </w:r>
      <w:r w:rsidRPr="009E2B42">
        <w:t xml:space="preserve"> separat</w:t>
      </w:r>
      <w:r>
        <w:t>ing</w:t>
      </w:r>
      <w:r w:rsidRPr="009E2B42">
        <w:t xml:space="preserve"> animacy-related representations from </w:t>
      </w:r>
      <w:r>
        <w:t xml:space="preserve">their </w:t>
      </w:r>
      <w:r w:rsidRPr="009E2B42">
        <w:t>low- and mid-level visual correlates</w:t>
      </w:r>
      <w:r>
        <w:t xml:space="preserve"> </w:t>
      </w:r>
      <w:r w:rsidR="00684BDD" w:rsidRPr="009E2B42">
        <w:t xml:space="preserve">analytically </w:t>
      </w:r>
      <w:r>
        <w:t xml:space="preserve">(e.g., </w:t>
      </w:r>
      <w:proofErr w:type="spellStart"/>
      <w:r w:rsidRPr="009E2B42">
        <w:t>Proklova</w:t>
      </w:r>
      <w:proofErr w:type="spellEnd"/>
      <w:r w:rsidRPr="009E2B42">
        <w:t xml:space="preserve">, Kaiser, &amp; Peelen, 2016). </w:t>
      </w:r>
      <w:r w:rsidR="005340BB" w:rsidRPr="005340BB">
        <w:t>Neither of these routes is necessarily superior to the other</w:t>
      </w:r>
      <w:r w:rsidR="005340BB">
        <w:t>.</w:t>
      </w:r>
      <w:r w:rsidR="005340BB" w:rsidRPr="005340BB">
        <w:t xml:space="preserve"> </w:t>
      </w:r>
      <w:r w:rsidR="005340BB">
        <w:t xml:space="preserve">However, </w:t>
      </w:r>
      <w:r w:rsidR="005340BB" w:rsidRPr="005340BB">
        <w:t xml:space="preserve">compared with </w:t>
      </w:r>
      <w:r w:rsidR="005340BB">
        <w:t>analytic approaches and inversion conditions</w:t>
      </w:r>
      <w:r w:rsidR="005340BB" w:rsidRPr="005340BB">
        <w:t xml:space="preserve">, </w:t>
      </w:r>
      <w:r w:rsidR="005340BB">
        <w:t>visual anagrams</w:t>
      </w:r>
      <w:r w:rsidR="005340BB" w:rsidRPr="005340BB">
        <w:t xml:space="preserve"> sacrifice the naturalism of ordinary images; </w:t>
      </w:r>
      <w:r w:rsidR="005340BB">
        <w:t xml:space="preserve">and </w:t>
      </w:r>
      <w:r w:rsidR="005340BB" w:rsidRPr="005340BB">
        <w:t xml:space="preserve">compared with binocular rivalry or hybrid images, they </w:t>
      </w:r>
      <w:r w:rsidR="005340BB">
        <w:t>fail to preserve the visual input constant</w:t>
      </w:r>
      <w:r w:rsidR="005340BB" w:rsidRPr="005340BB">
        <w:t xml:space="preserve"> across </w:t>
      </w:r>
      <w:r w:rsidR="005340BB">
        <w:t>conditions</w:t>
      </w:r>
      <w:r w:rsidR="005340BB" w:rsidRPr="005340BB">
        <w:t xml:space="preserve">. </w:t>
      </w:r>
      <w:r w:rsidR="005340BB">
        <w:t>Thus, it remains unclear what unique information visual anagrams could contribute to the converging evidence provided by</w:t>
      </w:r>
      <w:r w:rsidR="005340BB" w:rsidRPr="005340BB">
        <w:t xml:space="preserve"> existing methods.</w:t>
      </w:r>
    </w:p>
    <w:p w14:paraId="49BB0D1D" w14:textId="77777777" w:rsidR="005340BB" w:rsidRDefault="005340BB" w:rsidP="005340BB"/>
    <w:p w14:paraId="694696C5" w14:textId="33ECB9E1" w:rsidR="005340BB" w:rsidRDefault="005340BB" w:rsidP="005340BB">
      <w:pPr>
        <w:pStyle w:val="Heading2"/>
      </w:pPr>
      <w:r>
        <w:t>Conclusion</w:t>
      </w:r>
    </w:p>
    <w:p w14:paraId="207A6D05" w14:textId="27F2F7E4" w:rsidR="009E2B42" w:rsidRDefault="009E2B42" w:rsidP="005340BB">
      <w:r w:rsidRPr="009E2B42">
        <w:t>Taken together, because rotation fundamentally alters the visual input reaching the visual system, visual anagrams do not clearly provide stronger control over visual correlates than conventional rotation or inversion conditions; and because their deliberately ambiguous and degraded content may recruit recognition processes that differ from those engaged by ordinary objects, their findings have limited generalizability to real-world object recognition.</w:t>
      </w:r>
      <w:r>
        <w:t xml:space="preserve"> Thus, while visual anagrams are inventive (and </w:t>
      </w:r>
      <w:r w:rsidR="00684BDD">
        <w:t xml:space="preserve">admittedly </w:t>
      </w:r>
      <w:r>
        <w:t>nice for on a coaster), t</w:t>
      </w:r>
      <w:r w:rsidRPr="00DE62BF">
        <w:t xml:space="preserve">heir </w:t>
      </w:r>
      <w:r>
        <w:t xml:space="preserve">value </w:t>
      </w:r>
      <w:r w:rsidRPr="00DE62BF">
        <w:t xml:space="preserve">as a general solution to isolating </w:t>
      </w:r>
      <w:r>
        <w:t xml:space="preserve">higher-order concepts </w:t>
      </w:r>
      <w:r w:rsidRPr="00DE62BF">
        <w:t xml:space="preserve">from </w:t>
      </w:r>
      <w:r>
        <w:t>their lower level visual correlates remains limited</w:t>
      </w:r>
      <w:r w:rsidRPr="00DE62BF">
        <w:t>.</w:t>
      </w:r>
      <w:r w:rsidRPr="00CE1A87">
        <w:t xml:space="preserve"> </w:t>
      </w:r>
    </w:p>
    <w:p w14:paraId="1307264F" w14:textId="13B516EF" w:rsidR="009E2B42" w:rsidRDefault="009E2B42" w:rsidP="00DE62BF">
      <w:pPr>
        <w:ind w:firstLine="720"/>
      </w:pPr>
    </w:p>
    <w:tbl>
      <w:tblPr>
        <w:tblStyle w:val="TableGrid"/>
        <w:tblW w:w="0" w:type="auto"/>
        <w:tblInd w:w="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0"/>
      </w:tblGrid>
      <w:tr w:rsidR="008251F3" w14:paraId="7157EDDB" w14:textId="77777777" w:rsidTr="008251F3">
        <w:tc>
          <w:tcPr>
            <w:tcW w:w="9500" w:type="dxa"/>
          </w:tcPr>
          <w:p w14:paraId="60DF4B48" w14:textId="130B3711" w:rsidR="008251F3" w:rsidRDefault="008251F3" w:rsidP="008251F3">
            <w:r>
              <w:rPr>
                <w:noProof/>
              </w:rPr>
              <w:lastRenderedPageBreak/>
              <w:drawing>
                <wp:inline distT="0" distB="0" distL="0" distR="0" wp14:anchorId="315CE1D5" wp14:editId="53E965AD">
                  <wp:extent cx="4581525" cy="6546118"/>
                  <wp:effectExtent l="0" t="0" r="0" b="7620"/>
                  <wp:docPr id="1609250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31815" cy="6617973"/>
                          </a:xfrm>
                          <a:prstGeom prst="rect">
                            <a:avLst/>
                          </a:prstGeom>
                          <a:noFill/>
                          <a:ln>
                            <a:noFill/>
                          </a:ln>
                        </pic:spPr>
                      </pic:pic>
                    </a:graphicData>
                  </a:graphic>
                </wp:inline>
              </w:drawing>
            </w:r>
          </w:p>
        </w:tc>
      </w:tr>
      <w:tr w:rsidR="008251F3" w14:paraId="038F0450" w14:textId="77777777" w:rsidTr="008251F3">
        <w:tc>
          <w:tcPr>
            <w:tcW w:w="9500" w:type="dxa"/>
          </w:tcPr>
          <w:p w14:paraId="554CEF8E" w14:textId="4DE2ABA8" w:rsidR="008251F3" w:rsidRDefault="008251F3" w:rsidP="008251F3">
            <w:r w:rsidRPr="008251F3">
              <w:rPr>
                <w:b/>
                <w:bCs/>
              </w:rPr>
              <w:t>Figure 1.</w:t>
            </w:r>
            <w:r>
              <w:t xml:space="preserve"> Overview of the six pairs of “visual anagrams” used by Bogers &amp; Firestone (2026). Each inanimate object (left) can be rotated to produce an animate object (right).</w:t>
            </w:r>
          </w:p>
        </w:tc>
      </w:tr>
    </w:tbl>
    <w:p w14:paraId="4B64A414" w14:textId="47CBFF25" w:rsidR="00AE1047" w:rsidRDefault="00000000">
      <w:pPr>
        <w:pStyle w:val="Heading1"/>
      </w:pPr>
      <w:r>
        <w:lastRenderedPageBreak/>
        <w:t>References</w:t>
      </w:r>
    </w:p>
    <w:p w14:paraId="6EF76C21" w14:textId="725BB809" w:rsidR="00AE1047" w:rsidRDefault="00000000">
      <w:pPr>
        <w:pStyle w:val="Reference"/>
      </w:pPr>
      <w:r>
        <w:t xml:space="preserve">Barbot, A., Xue, S., &amp; Carrasco, M. (2021). Asymmetries in visual acuity around the visual field. </w:t>
      </w:r>
      <w:r>
        <w:rPr>
          <w:i/>
        </w:rPr>
        <w:t>Journal of Vision</w:t>
      </w:r>
      <w:r>
        <w:t xml:space="preserve">, 21(1), 2. </w:t>
      </w:r>
    </w:p>
    <w:p w14:paraId="24FC182A" w14:textId="34C7DC50" w:rsidR="00AE1047" w:rsidRDefault="00000000">
      <w:pPr>
        <w:pStyle w:val="Reference"/>
      </w:pPr>
      <w:r>
        <w:t xml:space="preserve">Benson, N. C., Kupers, E. R., Barbot, A., Carrasco, M., &amp; Winawer, J. (2021). Cortical magnification in human visual cortex parallels task performance around the visual field. </w:t>
      </w:r>
      <w:r>
        <w:rPr>
          <w:i/>
        </w:rPr>
        <w:t>eLife</w:t>
      </w:r>
      <w:r>
        <w:t xml:space="preserve">, 10, e67685. </w:t>
      </w:r>
    </w:p>
    <w:p w14:paraId="7637C591" w14:textId="756CAF3B" w:rsidR="00AE1047" w:rsidRDefault="00000000">
      <w:pPr>
        <w:pStyle w:val="Reference"/>
      </w:pPr>
      <w:r>
        <w:t xml:space="preserve">Boger, T., &amp; Firestone, C. (2026). Perceiving animacy in ‘identical’ images. </w:t>
      </w:r>
      <w:r>
        <w:rPr>
          <w:i/>
        </w:rPr>
        <w:t>eLife</w:t>
      </w:r>
      <w:r>
        <w:t xml:space="preserve">, 15, RP111179. </w:t>
      </w:r>
    </w:p>
    <w:p w14:paraId="52C86D7F" w14:textId="16F9BDCD" w:rsidR="006C1AF2" w:rsidRDefault="006C1AF2">
      <w:pPr>
        <w:pStyle w:val="Reference"/>
      </w:pPr>
      <w:r w:rsidRPr="006C1AF2">
        <w:t>Boger, T., &amp; Firestone, C. (2025). Visual anagrams reveal high-level effects with ‘identical’</w:t>
      </w:r>
      <w:r>
        <w:t xml:space="preserve"> </w:t>
      </w:r>
      <w:r w:rsidRPr="006C1AF2">
        <w:t>stimuli. </w:t>
      </w:r>
      <w:r w:rsidRPr="006C1AF2">
        <w:rPr>
          <w:i/>
          <w:iCs/>
        </w:rPr>
        <w:t>Current Biology</w:t>
      </w:r>
      <w:r w:rsidRPr="006C1AF2">
        <w:t>, </w:t>
      </w:r>
      <w:r w:rsidRPr="006C1AF2">
        <w:rPr>
          <w:i/>
          <w:iCs/>
        </w:rPr>
        <w:t>35</w:t>
      </w:r>
      <w:r w:rsidRPr="006C1AF2">
        <w:t>(19), R910-R912.</w:t>
      </w:r>
    </w:p>
    <w:p w14:paraId="53F741DF" w14:textId="2DACA1D0" w:rsidR="00FB5686" w:rsidRDefault="00FB5686">
      <w:pPr>
        <w:pStyle w:val="Reference"/>
      </w:pPr>
      <w:r w:rsidRPr="00FB5686">
        <w:t xml:space="preserve">Cheong, S. K., </w:t>
      </w:r>
      <w:proofErr w:type="spellStart"/>
      <w:r w:rsidRPr="00FB5686">
        <w:t>Tailby</w:t>
      </w:r>
      <w:proofErr w:type="spellEnd"/>
      <w:r w:rsidRPr="00FB5686">
        <w:t>, C., Solomon, S. G., &amp; Martin, P. R. (2013). Cortical-like receptive fields in the lateral geniculate nucleus of marmoset monkeys. </w:t>
      </w:r>
      <w:r w:rsidRPr="00FB5686">
        <w:rPr>
          <w:i/>
          <w:iCs/>
        </w:rPr>
        <w:t>The Journal of Neuroscience</w:t>
      </w:r>
      <w:r w:rsidRPr="00FB5686">
        <w:t>, </w:t>
      </w:r>
      <w:r w:rsidRPr="00FB5686">
        <w:rPr>
          <w:i/>
          <w:iCs/>
        </w:rPr>
        <w:t>33</w:t>
      </w:r>
      <w:r w:rsidRPr="00FB5686">
        <w:t>(16), 6864-6876.</w:t>
      </w:r>
    </w:p>
    <w:p w14:paraId="54A3425C" w14:textId="76D49223" w:rsidR="00AE1047" w:rsidRDefault="00000000">
      <w:pPr>
        <w:pStyle w:val="Reference"/>
      </w:pPr>
      <w:r>
        <w:t xml:space="preserve">de Haas, B., Schwarzkopf, D. S., Alvarez, I., Lawson, R. P., Henriksson, L., Kriegeskorte, N., &amp; Rees, G. (2016). Perception and processing of faces in the human brain is tuned to typical feature locations. </w:t>
      </w:r>
      <w:r>
        <w:rPr>
          <w:i/>
        </w:rPr>
        <w:t>Journal of Neuroscience</w:t>
      </w:r>
      <w:r>
        <w:t>, 36(36), 9289-9302.</w:t>
      </w:r>
      <w:r w:rsidR="00E129EE">
        <w:t xml:space="preserve"> </w:t>
      </w:r>
    </w:p>
    <w:p w14:paraId="6B4FAAF0" w14:textId="26D060EA" w:rsidR="009A2666" w:rsidRDefault="009A2666">
      <w:pPr>
        <w:pStyle w:val="Reference"/>
      </w:pPr>
      <w:r w:rsidRPr="009A2666">
        <w:t xml:space="preserve">Flounders, M. W., González-García, C., Hardstone, R., &amp; He, B. J. (2019). Neural dynamics of visual ambiguity resolution by perceptual prior. </w:t>
      </w:r>
      <w:proofErr w:type="spellStart"/>
      <w:r w:rsidRPr="009A2666">
        <w:rPr>
          <w:i/>
          <w:iCs/>
        </w:rPr>
        <w:t>eLife</w:t>
      </w:r>
      <w:proofErr w:type="spellEnd"/>
      <w:r w:rsidRPr="009A2666">
        <w:rPr>
          <w:i/>
          <w:iCs/>
        </w:rPr>
        <w:t>, 8</w:t>
      </w:r>
      <w:r w:rsidRPr="009A2666">
        <w:t>, e41861.</w:t>
      </w:r>
    </w:p>
    <w:p w14:paraId="35948167" w14:textId="35AA8F7E" w:rsidR="00E129EE" w:rsidRDefault="00E129EE">
      <w:pPr>
        <w:pStyle w:val="Reference"/>
      </w:pPr>
      <w:r w:rsidRPr="00E129EE">
        <w:t>Jolicoeur, P. (1985). The time to name disoriented natural objects. </w:t>
      </w:r>
      <w:r w:rsidRPr="00E129EE">
        <w:rPr>
          <w:i/>
          <w:iCs/>
        </w:rPr>
        <w:t>Memory &amp; cognition</w:t>
      </w:r>
      <w:r w:rsidRPr="00E129EE">
        <w:t>, </w:t>
      </w:r>
      <w:r w:rsidRPr="00E129EE">
        <w:rPr>
          <w:i/>
          <w:iCs/>
        </w:rPr>
        <w:t>13</w:t>
      </w:r>
      <w:r w:rsidRPr="00E129EE">
        <w:t>(4), 289-303.</w:t>
      </w:r>
    </w:p>
    <w:p w14:paraId="38559855" w14:textId="1E53C98C" w:rsidR="0086120F" w:rsidRDefault="0086120F">
      <w:pPr>
        <w:pStyle w:val="Reference"/>
      </w:pPr>
      <w:r w:rsidRPr="0086120F">
        <w:t xml:space="preserve">Judd, C.M., Westfall, J., &amp; Kenny, D.A. (2012). Treating stimuli as a random factor in social psychology. </w:t>
      </w:r>
      <w:r w:rsidRPr="0086120F">
        <w:rPr>
          <w:i/>
          <w:iCs/>
        </w:rPr>
        <w:t>Journal of Personality and Social Psychology, 103</w:t>
      </w:r>
      <w:r w:rsidRPr="0086120F">
        <w:t>, 54–69.</w:t>
      </w:r>
    </w:p>
    <w:p w14:paraId="758FC583" w14:textId="42D9CB35" w:rsidR="00094D03" w:rsidRDefault="00094D03">
      <w:pPr>
        <w:pStyle w:val="Reference"/>
      </w:pPr>
      <w:proofErr w:type="spellStart"/>
      <w:r w:rsidRPr="00094D03">
        <w:t>Kriegeskorte</w:t>
      </w:r>
      <w:proofErr w:type="spellEnd"/>
      <w:r w:rsidRPr="00094D03">
        <w:t xml:space="preserve">, N., Mur, M., &amp; </w:t>
      </w:r>
      <w:proofErr w:type="spellStart"/>
      <w:r w:rsidRPr="00094D03">
        <w:t>Bandettini</w:t>
      </w:r>
      <w:proofErr w:type="spellEnd"/>
      <w:r w:rsidRPr="00094D03">
        <w:t>, P. (2008), Representational similarity analysis—Connecting the branches of systems neuroscience</w:t>
      </w:r>
      <w:r>
        <w:t>.</w:t>
      </w:r>
      <w:r w:rsidRPr="00094D03">
        <w:t xml:space="preserve"> </w:t>
      </w:r>
      <w:r w:rsidRPr="00094D03">
        <w:rPr>
          <w:i/>
          <w:iCs/>
        </w:rPr>
        <w:t>Frontiers in Systems Neuroscience, 2</w:t>
      </w:r>
      <w:r w:rsidRPr="00094D03">
        <w:t>, 4.</w:t>
      </w:r>
    </w:p>
    <w:p w14:paraId="1635B8D6" w14:textId="06654188" w:rsidR="00AE1047" w:rsidRDefault="00000000">
      <w:pPr>
        <w:pStyle w:val="Reference"/>
      </w:pPr>
      <w:proofErr w:type="spellStart"/>
      <w:r>
        <w:t>Kupers</w:t>
      </w:r>
      <w:proofErr w:type="spellEnd"/>
      <w:r>
        <w:t xml:space="preserve">, E. R., Benson, N. C., Carrasco, M., &amp; Winawer, J. (2022). Asymmetries around the visual field: From retina to cortex to behavior. </w:t>
      </w:r>
      <w:r>
        <w:rPr>
          <w:i/>
        </w:rPr>
        <w:t>PLOS Computational Biology</w:t>
      </w:r>
      <w:r>
        <w:t xml:space="preserve">, 18(1), e1009771. </w:t>
      </w:r>
    </w:p>
    <w:p w14:paraId="559472BF" w14:textId="77777777" w:rsidR="00E129EE" w:rsidRDefault="00E129EE" w:rsidP="00E129EE">
      <w:pPr>
        <w:pStyle w:val="Reference"/>
      </w:pPr>
      <w:r w:rsidRPr="00E129EE">
        <w:t xml:space="preserve">Lawson, R., &amp; Jolicoeur, P. (1998). The effects of plane rotation on the recognition of brief masked pictures of familiar objects. </w:t>
      </w:r>
      <w:r w:rsidRPr="00E129EE">
        <w:rPr>
          <w:i/>
          <w:iCs/>
        </w:rPr>
        <w:t>Memory &amp; Cognition, 26</w:t>
      </w:r>
      <w:r w:rsidRPr="00E129EE">
        <w:t>, 791–803.</w:t>
      </w:r>
    </w:p>
    <w:p w14:paraId="5250975C" w14:textId="377A7CD8" w:rsidR="006C1946" w:rsidRDefault="006C1946" w:rsidP="006C1946">
      <w:pPr>
        <w:pStyle w:val="Reference"/>
      </w:pPr>
      <w:proofErr w:type="spellStart"/>
      <w:r w:rsidRPr="006C1946">
        <w:rPr>
          <w:lang w:val="nl-NL"/>
        </w:rPr>
        <w:t>Levin</w:t>
      </w:r>
      <w:proofErr w:type="spellEnd"/>
      <w:r w:rsidRPr="006C1946">
        <w:rPr>
          <w:lang w:val="nl-NL"/>
        </w:rPr>
        <w:t xml:space="preserve"> DT, </w:t>
      </w:r>
      <w:proofErr w:type="spellStart"/>
      <w:r w:rsidRPr="006C1946">
        <w:rPr>
          <w:lang w:val="nl-NL"/>
        </w:rPr>
        <w:t>Takarae</w:t>
      </w:r>
      <w:proofErr w:type="spellEnd"/>
      <w:r w:rsidRPr="006C1946">
        <w:rPr>
          <w:lang w:val="nl-NL"/>
        </w:rPr>
        <w:t xml:space="preserve"> Y, </w:t>
      </w:r>
      <w:proofErr w:type="spellStart"/>
      <w:r w:rsidRPr="006C1946">
        <w:rPr>
          <w:lang w:val="nl-NL"/>
        </w:rPr>
        <w:t>Miner</w:t>
      </w:r>
      <w:proofErr w:type="spellEnd"/>
      <w:r w:rsidRPr="006C1946">
        <w:rPr>
          <w:lang w:val="nl-NL"/>
        </w:rPr>
        <w:t xml:space="preserve"> AG, Keil F. 2001. </w:t>
      </w:r>
      <w:proofErr w:type="spellStart"/>
      <w:r w:rsidRPr="006C1946">
        <w:rPr>
          <w:lang w:val="nl-NL"/>
        </w:rPr>
        <w:t>Efficient</w:t>
      </w:r>
      <w:proofErr w:type="spellEnd"/>
      <w:r w:rsidRPr="006C1946">
        <w:rPr>
          <w:lang w:val="nl-NL"/>
        </w:rPr>
        <w:t xml:space="preserve"> </w:t>
      </w:r>
      <w:proofErr w:type="spellStart"/>
      <w:r w:rsidRPr="006C1946">
        <w:rPr>
          <w:lang w:val="nl-NL"/>
        </w:rPr>
        <w:t>visual</w:t>
      </w:r>
      <w:proofErr w:type="spellEnd"/>
      <w:r w:rsidRPr="006C1946">
        <w:rPr>
          <w:lang w:val="nl-NL"/>
        </w:rPr>
        <w:t xml:space="preserve"> search </w:t>
      </w:r>
      <w:proofErr w:type="spellStart"/>
      <w:r w:rsidRPr="006C1946">
        <w:rPr>
          <w:lang w:val="nl-NL"/>
        </w:rPr>
        <w:t>by</w:t>
      </w:r>
      <w:proofErr w:type="spellEnd"/>
      <w:r w:rsidRPr="006C1946">
        <w:rPr>
          <w:lang w:val="nl-NL"/>
        </w:rPr>
        <w:t xml:space="preserve"> </w:t>
      </w:r>
      <w:proofErr w:type="spellStart"/>
      <w:r w:rsidRPr="006C1946">
        <w:rPr>
          <w:lang w:val="nl-NL"/>
        </w:rPr>
        <w:t>category</w:t>
      </w:r>
      <w:proofErr w:type="spellEnd"/>
      <w:r w:rsidRPr="006C1946">
        <w:rPr>
          <w:lang w:val="nl-NL"/>
        </w:rPr>
        <w:t xml:space="preserve">: </w:t>
      </w:r>
      <w:proofErr w:type="spellStart"/>
      <w:r w:rsidRPr="006C1946">
        <w:rPr>
          <w:lang w:val="nl-NL"/>
        </w:rPr>
        <w:t>Specifying</w:t>
      </w:r>
      <w:proofErr w:type="spellEnd"/>
      <w:r w:rsidRPr="006C1946">
        <w:rPr>
          <w:lang w:val="nl-NL"/>
        </w:rPr>
        <w:t xml:space="preserve"> </w:t>
      </w:r>
      <w:proofErr w:type="spellStart"/>
      <w:r w:rsidRPr="006C1946">
        <w:rPr>
          <w:lang w:val="nl-NL"/>
        </w:rPr>
        <w:t>the</w:t>
      </w:r>
      <w:proofErr w:type="spellEnd"/>
      <w:r w:rsidRPr="006C1946">
        <w:rPr>
          <w:lang w:val="nl-NL"/>
        </w:rPr>
        <w:t xml:space="preserve"> features </w:t>
      </w:r>
      <w:proofErr w:type="spellStart"/>
      <w:r w:rsidRPr="006C1946">
        <w:rPr>
          <w:lang w:val="nl-NL"/>
        </w:rPr>
        <w:t>that</w:t>
      </w:r>
      <w:proofErr w:type="spellEnd"/>
      <w:r w:rsidRPr="006C1946">
        <w:rPr>
          <w:lang w:val="nl-NL"/>
        </w:rPr>
        <w:t xml:space="preserve"> mark</w:t>
      </w:r>
      <w:r>
        <w:rPr>
          <w:lang w:val="nl-NL"/>
        </w:rPr>
        <w:t xml:space="preserve"> </w:t>
      </w:r>
      <w:proofErr w:type="spellStart"/>
      <w:r w:rsidRPr="006C1946">
        <w:rPr>
          <w:lang w:val="nl-NL"/>
        </w:rPr>
        <w:t>the</w:t>
      </w:r>
      <w:proofErr w:type="spellEnd"/>
      <w:r w:rsidRPr="006C1946">
        <w:rPr>
          <w:lang w:val="nl-NL"/>
        </w:rPr>
        <w:t xml:space="preserve"> </w:t>
      </w:r>
      <w:proofErr w:type="spellStart"/>
      <w:r w:rsidRPr="006C1946">
        <w:rPr>
          <w:lang w:val="nl-NL"/>
        </w:rPr>
        <w:t>difference</w:t>
      </w:r>
      <w:proofErr w:type="spellEnd"/>
      <w:r w:rsidRPr="006C1946">
        <w:rPr>
          <w:lang w:val="nl-NL"/>
        </w:rPr>
        <w:t xml:space="preserve"> </w:t>
      </w:r>
      <w:proofErr w:type="spellStart"/>
      <w:r w:rsidRPr="006C1946">
        <w:rPr>
          <w:lang w:val="nl-NL"/>
        </w:rPr>
        <w:t>between</w:t>
      </w:r>
      <w:proofErr w:type="spellEnd"/>
      <w:r w:rsidRPr="006C1946">
        <w:rPr>
          <w:lang w:val="nl-NL"/>
        </w:rPr>
        <w:t xml:space="preserve"> </w:t>
      </w:r>
      <w:proofErr w:type="spellStart"/>
      <w:r w:rsidRPr="006C1946">
        <w:rPr>
          <w:lang w:val="nl-NL"/>
        </w:rPr>
        <w:t>artifacts</w:t>
      </w:r>
      <w:proofErr w:type="spellEnd"/>
      <w:r w:rsidRPr="006C1946">
        <w:rPr>
          <w:lang w:val="nl-NL"/>
        </w:rPr>
        <w:t xml:space="preserve"> and </w:t>
      </w:r>
      <w:proofErr w:type="spellStart"/>
      <w:r w:rsidRPr="006C1946">
        <w:rPr>
          <w:lang w:val="nl-NL"/>
        </w:rPr>
        <w:t>animals</w:t>
      </w:r>
      <w:proofErr w:type="spellEnd"/>
      <w:r w:rsidRPr="006C1946">
        <w:rPr>
          <w:lang w:val="nl-NL"/>
        </w:rPr>
        <w:t xml:space="preserve"> in </w:t>
      </w:r>
      <w:proofErr w:type="spellStart"/>
      <w:r w:rsidRPr="006C1946">
        <w:rPr>
          <w:lang w:val="nl-NL"/>
        </w:rPr>
        <w:t>preattentive</w:t>
      </w:r>
      <w:proofErr w:type="spellEnd"/>
      <w:r w:rsidRPr="006C1946">
        <w:rPr>
          <w:lang w:val="nl-NL"/>
        </w:rPr>
        <w:t xml:space="preserve"> </w:t>
      </w:r>
      <w:proofErr w:type="spellStart"/>
      <w:r w:rsidRPr="006C1946">
        <w:rPr>
          <w:lang w:val="nl-NL"/>
        </w:rPr>
        <w:t>vision</w:t>
      </w:r>
      <w:proofErr w:type="spellEnd"/>
      <w:r w:rsidRPr="006C1946">
        <w:rPr>
          <w:lang w:val="nl-NL"/>
        </w:rPr>
        <w:t xml:space="preserve">. </w:t>
      </w:r>
      <w:proofErr w:type="spellStart"/>
      <w:r w:rsidRPr="006C1946">
        <w:rPr>
          <w:i/>
          <w:iCs/>
          <w:lang w:val="nl-NL"/>
        </w:rPr>
        <w:t>Perception</w:t>
      </w:r>
      <w:proofErr w:type="spellEnd"/>
      <w:r w:rsidRPr="006C1946">
        <w:rPr>
          <w:i/>
          <w:iCs/>
          <w:lang w:val="nl-NL"/>
        </w:rPr>
        <w:t xml:space="preserve"> &amp; </w:t>
      </w:r>
      <w:proofErr w:type="spellStart"/>
      <w:r w:rsidRPr="006C1946">
        <w:rPr>
          <w:i/>
          <w:iCs/>
          <w:lang w:val="nl-NL"/>
        </w:rPr>
        <w:t>Psychophysics</w:t>
      </w:r>
      <w:proofErr w:type="spellEnd"/>
      <w:r w:rsidRPr="006C1946">
        <w:rPr>
          <w:i/>
          <w:iCs/>
          <w:lang w:val="nl-NL"/>
        </w:rPr>
        <w:t xml:space="preserve"> </w:t>
      </w:r>
      <w:r w:rsidRPr="006C1946">
        <w:rPr>
          <w:lang w:val="nl-NL"/>
        </w:rPr>
        <w:t>63:676–697.</w:t>
      </w:r>
    </w:p>
    <w:p w14:paraId="04791C3C" w14:textId="44C19A7D" w:rsidR="00490879" w:rsidRDefault="00490879">
      <w:pPr>
        <w:pStyle w:val="Reference"/>
      </w:pPr>
      <w:r w:rsidRPr="00490879">
        <w:t xml:space="preserve">Linde-Domingo, J., Ortiz-Tudela, J., </w:t>
      </w:r>
      <w:proofErr w:type="spellStart"/>
      <w:r w:rsidRPr="00490879">
        <w:t>Völler</w:t>
      </w:r>
      <w:proofErr w:type="spellEnd"/>
      <w:r w:rsidRPr="00490879">
        <w:t xml:space="preserve">, J., Hebart, M. N., &amp; González-García, C. (2026). Determinants of visual ambiguity resolution. </w:t>
      </w:r>
      <w:r w:rsidRPr="00490879">
        <w:rPr>
          <w:i/>
          <w:iCs/>
        </w:rPr>
        <w:t>Communications Psychology, 4</w:t>
      </w:r>
      <w:r w:rsidRPr="00490879">
        <w:t>, 78.</w:t>
      </w:r>
    </w:p>
    <w:p w14:paraId="08EE86AE" w14:textId="61008B32" w:rsidR="006C1946" w:rsidRDefault="006C1946" w:rsidP="006C1946">
      <w:pPr>
        <w:pStyle w:val="Reference"/>
      </w:pPr>
      <w:r w:rsidRPr="006C1946">
        <w:rPr>
          <w:lang w:val="nl-NL"/>
        </w:rPr>
        <w:t xml:space="preserve">Long B, </w:t>
      </w:r>
      <w:proofErr w:type="spellStart"/>
      <w:r w:rsidRPr="006C1946">
        <w:rPr>
          <w:lang w:val="nl-NL"/>
        </w:rPr>
        <w:t>Störmer</w:t>
      </w:r>
      <w:proofErr w:type="spellEnd"/>
      <w:r w:rsidRPr="006C1946">
        <w:rPr>
          <w:lang w:val="nl-NL"/>
        </w:rPr>
        <w:t xml:space="preserve"> VS, Alvarez GA. 2017. </w:t>
      </w:r>
      <w:proofErr w:type="spellStart"/>
      <w:r w:rsidRPr="006C1946">
        <w:rPr>
          <w:lang w:val="nl-NL"/>
        </w:rPr>
        <w:t>Mid</w:t>
      </w:r>
      <w:proofErr w:type="spellEnd"/>
      <w:r w:rsidRPr="006C1946">
        <w:rPr>
          <w:lang w:val="nl-NL"/>
        </w:rPr>
        <w:t>-level</w:t>
      </w:r>
      <w:r>
        <w:rPr>
          <w:lang w:val="nl-NL"/>
        </w:rPr>
        <w:t xml:space="preserve"> </w:t>
      </w:r>
      <w:proofErr w:type="spellStart"/>
      <w:r w:rsidRPr="006C1946">
        <w:rPr>
          <w:lang w:val="nl-NL"/>
        </w:rPr>
        <w:t>perceptual</w:t>
      </w:r>
      <w:proofErr w:type="spellEnd"/>
      <w:r w:rsidRPr="006C1946">
        <w:rPr>
          <w:lang w:val="nl-NL"/>
        </w:rPr>
        <w:t xml:space="preserve"> features </w:t>
      </w:r>
      <w:proofErr w:type="spellStart"/>
      <w:r w:rsidRPr="006C1946">
        <w:rPr>
          <w:lang w:val="nl-NL"/>
        </w:rPr>
        <w:t>contain</w:t>
      </w:r>
      <w:proofErr w:type="spellEnd"/>
      <w:r w:rsidRPr="006C1946">
        <w:rPr>
          <w:lang w:val="nl-NL"/>
        </w:rPr>
        <w:t xml:space="preserve"> </w:t>
      </w:r>
      <w:proofErr w:type="spellStart"/>
      <w:r w:rsidRPr="006C1946">
        <w:rPr>
          <w:lang w:val="nl-NL"/>
        </w:rPr>
        <w:t>early</w:t>
      </w:r>
      <w:proofErr w:type="spellEnd"/>
      <w:r w:rsidRPr="006C1946">
        <w:rPr>
          <w:lang w:val="nl-NL"/>
        </w:rPr>
        <w:t xml:space="preserve"> cues </w:t>
      </w:r>
      <w:proofErr w:type="spellStart"/>
      <w:r w:rsidRPr="006C1946">
        <w:rPr>
          <w:lang w:val="nl-NL"/>
        </w:rPr>
        <w:t>to</w:t>
      </w:r>
      <w:proofErr w:type="spellEnd"/>
      <w:r w:rsidRPr="006C1946">
        <w:rPr>
          <w:lang w:val="nl-NL"/>
        </w:rPr>
        <w:t xml:space="preserve"> </w:t>
      </w:r>
      <w:proofErr w:type="spellStart"/>
      <w:r w:rsidRPr="006C1946">
        <w:rPr>
          <w:lang w:val="nl-NL"/>
        </w:rPr>
        <w:t>animacy</w:t>
      </w:r>
      <w:proofErr w:type="spellEnd"/>
      <w:r w:rsidRPr="006C1946">
        <w:rPr>
          <w:lang w:val="nl-NL"/>
        </w:rPr>
        <w:t xml:space="preserve">. </w:t>
      </w:r>
      <w:r w:rsidRPr="006C1946">
        <w:rPr>
          <w:i/>
          <w:iCs/>
          <w:lang w:val="nl-NL"/>
        </w:rPr>
        <w:t>Journal of</w:t>
      </w:r>
      <w:r>
        <w:rPr>
          <w:i/>
          <w:iCs/>
          <w:lang w:val="nl-NL"/>
        </w:rPr>
        <w:t xml:space="preserve"> </w:t>
      </w:r>
      <w:proofErr w:type="spellStart"/>
      <w:r w:rsidRPr="006C1946">
        <w:rPr>
          <w:i/>
          <w:iCs/>
          <w:lang w:val="nl-NL"/>
        </w:rPr>
        <w:t>Vision</w:t>
      </w:r>
      <w:proofErr w:type="spellEnd"/>
      <w:r w:rsidRPr="006C1946">
        <w:rPr>
          <w:i/>
          <w:iCs/>
          <w:lang w:val="nl-NL"/>
        </w:rPr>
        <w:t xml:space="preserve"> </w:t>
      </w:r>
      <w:r w:rsidRPr="006C1946">
        <w:rPr>
          <w:lang w:val="nl-NL"/>
        </w:rPr>
        <w:t>17:20.</w:t>
      </w:r>
    </w:p>
    <w:p w14:paraId="7539584D" w14:textId="77B57FA3" w:rsidR="002D7378" w:rsidRDefault="002D7378">
      <w:pPr>
        <w:pStyle w:val="Reference"/>
      </w:pPr>
      <w:r w:rsidRPr="002D7378">
        <w:t xml:space="preserve">Passaglia, C. L., Troy, J. B., </w:t>
      </w:r>
      <w:proofErr w:type="spellStart"/>
      <w:r w:rsidRPr="002D7378">
        <w:t>Rüttiger</w:t>
      </w:r>
      <w:proofErr w:type="spellEnd"/>
      <w:r w:rsidRPr="002D7378">
        <w:t xml:space="preserve">, L., &amp; Lee, B. B. (2002). Orientation sensitivity of ganglion cells in primate retina. </w:t>
      </w:r>
      <w:r w:rsidRPr="002D7378">
        <w:rPr>
          <w:i/>
          <w:iCs/>
        </w:rPr>
        <w:t>Vision Research, 42</w:t>
      </w:r>
      <w:r w:rsidRPr="002D7378">
        <w:t>, 683–694.</w:t>
      </w:r>
    </w:p>
    <w:p w14:paraId="58CFD91E" w14:textId="6EDB7B9C" w:rsidR="00094D03" w:rsidRDefault="00094D03">
      <w:pPr>
        <w:pStyle w:val="Reference"/>
      </w:pPr>
      <w:proofErr w:type="spellStart"/>
      <w:r w:rsidRPr="00094D03">
        <w:lastRenderedPageBreak/>
        <w:t>Proklova</w:t>
      </w:r>
      <w:proofErr w:type="spellEnd"/>
      <w:r w:rsidRPr="00094D03">
        <w:t xml:space="preserve">, D., Kaiser, D., &amp; Peelen, M. V. (2016). Disentangling representations of object shape and object category in human visual cortex: The animate–inanimate distinction. </w:t>
      </w:r>
      <w:r w:rsidRPr="00094D03">
        <w:rPr>
          <w:i/>
          <w:iCs/>
        </w:rPr>
        <w:t>Journal of Cognitive Neuroscience, 28</w:t>
      </w:r>
      <w:r w:rsidRPr="00094D03">
        <w:t>(5), 680–692.</w:t>
      </w:r>
    </w:p>
    <w:p w14:paraId="6B4F7426" w14:textId="6D57B536" w:rsidR="009A2666" w:rsidRDefault="009A2666">
      <w:pPr>
        <w:pStyle w:val="Reference"/>
      </w:pPr>
      <w:r w:rsidRPr="009A2666">
        <w:t xml:space="preserve">Rajaei, K., </w:t>
      </w:r>
      <w:proofErr w:type="spellStart"/>
      <w:r w:rsidRPr="009A2666">
        <w:t>Mohsenzadeh</w:t>
      </w:r>
      <w:proofErr w:type="spellEnd"/>
      <w:r w:rsidRPr="009A2666">
        <w:t xml:space="preserve">, Y., Ebrahimpour, R., &amp; </w:t>
      </w:r>
      <w:proofErr w:type="spellStart"/>
      <w:r w:rsidRPr="009A2666">
        <w:t>Khaligh</w:t>
      </w:r>
      <w:proofErr w:type="spellEnd"/>
      <w:r w:rsidRPr="009A2666">
        <w:t xml:space="preserve">-Razavi, S.-M. (2019). Beyond core object recognition: Recurrent processes account for object recognition under occlusion. </w:t>
      </w:r>
      <w:r w:rsidRPr="009A2666">
        <w:rPr>
          <w:i/>
          <w:iCs/>
        </w:rPr>
        <w:t>PLOS Computational Biology, 15</w:t>
      </w:r>
      <w:r w:rsidRPr="009A2666">
        <w:t>, e1007001.</w:t>
      </w:r>
    </w:p>
    <w:p w14:paraId="2600B56C" w14:textId="5E2FD01B" w:rsidR="00AE1047" w:rsidRDefault="00000000">
      <w:pPr>
        <w:pStyle w:val="Reference"/>
      </w:pPr>
      <w:r>
        <w:t xml:space="preserve">Roth, Z. N., Kay, K., &amp; Merriam, E. P. (2022). Natural scene sampling reveals reliable coarse-scale orientation tuning in human V1. </w:t>
      </w:r>
      <w:r>
        <w:rPr>
          <w:i/>
        </w:rPr>
        <w:t>Nature Communications</w:t>
      </w:r>
      <w:r>
        <w:t xml:space="preserve">, 13, 6469. </w:t>
      </w:r>
    </w:p>
    <w:p w14:paraId="080583A3" w14:textId="77777777" w:rsidR="00FB5686" w:rsidRDefault="00000000">
      <w:pPr>
        <w:pStyle w:val="Reference"/>
      </w:pPr>
      <w:r>
        <w:t xml:space="preserve">Sasaki, Y., Rajimehr, R., Kim, B. W., Ekstrom, L. B., Vanduffel, W., &amp; Tootell, R. B. H. (2006). The radial bias: A different slant on visual orientation sensitivity in human and nonhuman primates. </w:t>
      </w:r>
      <w:r>
        <w:rPr>
          <w:i/>
        </w:rPr>
        <w:t>Neuron</w:t>
      </w:r>
      <w:r>
        <w:t>, 51(5), 661-670.</w:t>
      </w:r>
    </w:p>
    <w:p w14:paraId="043CB53F" w14:textId="072FAFC7" w:rsidR="00AE1047" w:rsidRDefault="00FB5686">
      <w:pPr>
        <w:pStyle w:val="Reference"/>
      </w:pPr>
      <w:r w:rsidRPr="00FB5686">
        <w:t>Schneider, K. A., Richter, M. C., &amp; Kastner, S. (2004). Retinotopic organization and functional subdivisions of the human lateral geniculate nucleus: a high-resolution functional magnetic resonance imaging study. </w:t>
      </w:r>
      <w:r w:rsidRPr="00FB5686">
        <w:rPr>
          <w:i/>
          <w:iCs/>
        </w:rPr>
        <w:t>The Journal of Neuroscience</w:t>
      </w:r>
      <w:r w:rsidRPr="00FB5686">
        <w:t>, </w:t>
      </w:r>
      <w:r w:rsidRPr="00FB5686">
        <w:rPr>
          <w:i/>
          <w:iCs/>
        </w:rPr>
        <w:t>24</w:t>
      </w:r>
      <w:r w:rsidRPr="00FB5686">
        <w:t>(41), 8975-8985.</w:t>
      </w:r>
    </w:p>
    <w:p w14:paraId="777C1659" w14:textId="69CAC7C6" w:rsidR="0013157F" w:rsidRDefault="0013157F">
      <w:pPr>
        <w:pStyle w:val="Reference"/>
      </w:pPr>
      <w:r w:rsidRPr="0013157F">
        <w:t xml:space="preserve">Tang, H., </w:t>
      </w:r>
      <w:proofErr w:type="spellStart"/>
      <w:r w:rsidRPr="0013157F">
        <w:t>Buia</w:t>
      </w:r>
      <w:proofErr w:type="spellEnd"/>
      <w:r w:rsidRPr="0013157F">
        <w:t xml:space="preserve">, C., Madhavan, R., Crone, N. E., Madsen, J. R., Anderson, W. S., &amp; Kreiman, G. (2014). Spatiotemporal dynamics underlying object completion in human ventral visual cortex. </w:t>
      </w:r>
      <w:r w:rsidRPr="0013157F">
        <w:rPr>
          <w:i/>
          <w:iCs/>
        </w:rPr>
        <w:t>Neuron, 83</w:t>
      </w:r>
      <w:r w:rsidRPr="0013157F">
        <w:t>, 736–748.</w:t>
      </w:r>
    </w:p>
    <w:p w14:paraId="6270341F" w14:textId="331B8C15" w:rsidR="0086120F" w:rsidRDefault="0086120F" w:rsidP="006C1946">
      <w:pPr>
        <w:pStyle w:val="Reference"/>
        <w:rPr>
          <w:lang w:val="nl-NL"/>
        </w:rPr>
      </w:pPr>
      <w:r w:rsidRPr="0086120F">
        <w:rPr>
          <w:lang w:val="nl-NL"/>
        </w:rPr>
        <w:t xml:space="preserve">Wells, G.L., &amp; </w:t>
      </w:r>
      <w:proofErr w:type="spellStart"/>
      <w:r w:rsidRPr="0086120F">
        <w:rPr>
          <w:lang w:val="nl-NL"/>
        </w:rPr>
        <w:t>Windschitl</w:t>
      </w:r>
      <w:proofErr w:type="spellEnd"/>
      <w:r w:rsidRPr="0086120F">
        <w:rPr>
          <w:lang w:val="nl-NL"/>
        </w:rPr>
        <w:t xml:space="preserve">, P.D. (1999). Stimulus sampling and </w:t>
      </w:r>
      <w:proofErr w:type="spellStart"/>
      <w:r w:rsidRPr="0086120F">
        <w:rPr>
          <w:lang w:val="nl-NL"/>
        </w:rPr>
        <w:t>social</w:t>
      </w:r>
      <w:proofErr w:type="spellEnd"/>
      <w:r w:rsidRPr="0086120F">
        <w:rPr>
          <w:lang w:val="nl-NL"/>
        </w:rPr>
        <w:t xml:space="preserve"> </w:t>
      </w:r>
      <w:proofErr w:type="spellStart"/>
      <w:r w:rsidRPr="0086120F">
        <w:rPr>
          <w:lang w:val="nl-NL"/>
        </w:rPr>
        <w:t>psychological</w:t>
      </w:r>
      <w:proofErr w:type="spellEnd"/>
      <w:r w:rsidRPr="0086120F">
        <w:rPr>
          <w:lang w:val="nl-NL"/>
        </w:rPr>
        <w:t xml:space="preserve"> </w:t>
      </w:r>
      <w:proofErr w:type="spellStart"/>
      <w:r w:rsidRPr="0086120F">
        <w:rPr>
          <w:lang w:val="nl-NL"/>
        </w:rPr>
        <w:t>experimentation</w:t>
      </w:r>
      <w:proofErr w:type="spellEnd"/>
      <w:r w:rsidRPr="0086120F">
        <w:rPr>
          <w:lang w:val="nl-NL"/>
        </w:rPr>
        <w:t xml:space="preserve">. </w:t>
      </w:r>
      <w:proofErr w:type="spellStart"/>
      <w:r w:rsidRPr="0086120F">
        <w:rPr>
          <w:i/>
          <w:iCs/>
          <w:lang w:val="nl-NL"/>
        </w:rPr>
        <w:t>Personality</w:t>
      </w:r>
      <w:proofErr w:type="spellEnd"/>
      <w:r w:rsidRPr="0086120F">
        <w:rPr>
          <w:i/>
          <w:iCs/>
          <w:lang w:val="nl-NL"/>
        </w:rPr>
        <w:t xml:space="preserve"> and </w:t>
      </w:r>
      <w:proofErr w:type="spellStart"/>
      <w:r w:rsidRPr="0086120F">
        <w:rPr>
          <w:i/>
          <w:iCs/>
          <w:lang w:val="nl-NL"/>
        </w:rPr>
        <w:t>Social</w:t>
      </w:r>
      <w:proofErr w:type="spellEnd"/>
      <w:r w:rsidRPr="0086120F">
        <w:rPr>
          <w:i/>
          <w:iCs/>
          <w:lang w:val="nl-NL"/>
        </w:rPr>
        <w:t xml:space="preserve"> </w:t>
      </w:r>
      <w:proofErr w:type="spellStart"/>
      <w:r w:rsidRPr="0086120F">
        <w:rPr>
          <w:i/>
          <w:iCs/>
          <w:lang w:val="nl-NL"/>
        </w:rPr>
        <w:t>Psychology</w:t>
      </w:r>
      <w:proofErr w:type="spellEnd"/>
      <w:r w:rsidRPr="0086120F">
        <w:rPr>
          <w:i/>
          <w:iCs/>
          <w:lang w:val="nl-NL"/>
        </w:rPr>
        <w:t xml:space="preserve"> Bulletin, 25</w:t>
      </w:r>
      <w:r w:rsidRPr="0086120F">
        <w:rPr>
          <w:lang w:val="nl-NL"/>
        </w:rPr>
        <w:t>, 1115–1125.</w:t>
      </w:r>
    </w:p>
    <w:p w14:paraId="39773EE7" w14:textId="547E72E3" w:rsidR="0086120F" w:rsidRDefault="0086120F" w:rsidP="006C1946">
      <w:pPr>
        <w:pStyle w:val="Reference"/>
        <w:rPr>
          <w:lang w:val="nl-NL"/>
        </w:rPr>
      </w:pPr>
      <w:r w:rsidRPr="0086120F">
        <w:t xml:space="preserve">Westfall, J., Judd, C.M., &amp; Kenny, D.A. (2015). Replicating studies in which samples of participants respond to samples of stimuli. </w:t>
      </w:r>
      <w:r w:rsidRPr="0086120F">
        <w:rPr>
          <w:i/>
          <w:iCs/>
        </w:rPr>
        <w:t>Perspectives on Psychological Science, 10</w:t>
      </w:r>
      <w:r w:rsidRPr="0086120F">
        <w:t>, 390–399.</w:t>
      </w:r>
    </w:p>
    <w:p w14:paraId="55B03B1B" w14:textId="3B7B10BF" w:rsidR="0086120F" w:rsidRPr="0086120F" w:rsidRDefault="0086120F" w:rsidP="006C1946">
      <w:pPr>
        <w:pStyle w:val="Reference"/>
        <w:rPr>
          <w:lang w:val="nl-NL"/>
        </w:rPr>
      </w:pPr>
      <w:r w:rsidRPr="0086120F">
        <w:t xml:space="preserve">Yarkoni, T. (2022). The generalizability crisis. </w:t>
      </w:r>
      <w:r w:rsidRPr="0086120F">
        <w:rPr>
          <w:i/>
          <w:iCs/>
        </w:rPr>
        <w:t>Behavioral and Brain Sciences, 45</w:t>
      </w:r>
      <w:r w:rsidRPr="0086120F">
        <w:t>, e1.</w:t>
      </w:r>
    </w:p>
    <w:p w14:paraId="70CA7F4C" w14:textId="2D7AA8F3" w:rsidR="006C1946" w:rsidRDefault="006C1946" w:rsidP="006C1946">
      <w:pPr>
        <w:pStyle w:val="Reference"/>
      </w:pPr>
      <w:proofErr w:type="spellStart"/>
      <w:r w:rsidRPr="006C1946">
        <w:rPr>
          <w:lang w:val="nl-NL"/>
        </w:rPr>
        <w:t>Yetter</w:t>
      </w:r>
      <w:proofErr w:type="spellEnd"/>
      <w:r w:rsidRPr="006C1946">
        <w:rPr>
          <w:lang w:val="nl-NL"/>
        </w:rPr>
        <w:t xml:space="preserve"> M, Robert S, </w:t>
      </w:r>
      <w:proofErr w:type="spellStart"/>
      <w:r w:rsidRPr="006C1946">
        <w:rPr>
          <w:lang w:val="nl-NL"/>
        </w:rPr>
        <w:t>Mammarella</w:t>
      </w:r>
      <w:proofErr w:type="spellEnd"/>
      <w:r w:rsidRPr="006C1946">
        <w:rPr>
          <w:lang w:val="nl-NL"/>
        </w:rPr>
        <w:t xml:space="preserve"> G, Richmond B, </w:t>
      </w:r>
      <w:proofErr w:type="spellStart"/>
      <w:r w:rsidRPr="006C1946">
        <w:rPr>
          <w:lang w:val="nl-NL"/>
        </w:rPr>
        <w:t>Eldridge</w:t>
      </w:r>
      <w:proofErr w:type="spellEnd"/>
      <w:r w:rsidRPr="006C1946">
        <w:rPr>
          <w:lang w:val="nl-NL"/>
        </w:rPr>
        <w:t xml:space="preserve"> MAG, </w:t>
      </w:r>
      <w:proofErr w:type="spellStart"/>
      <w:r w:rsidRPr="006C1946">
        <w:rPr>
          <w:lang w:val="nl-NL"/>
        </w:rPr>
        <w:t>Ungerleider</w:t>
      </w:r>
      <w:proofErr w:type="spellEnd"/>
      <w:r w:rsidRPr="006C1946">
        <w:rPr>
          <w:lang w:val="nl-NL"/>
        </w:rPr>
        <w:t xml:space="preserve"> LG, </w:t>
      </w:r>
      <w:proofErr w:type="spellStart"/>
      <w:r w:rsidRPr="006C1946">
        <w:rPr>
          <w:lang w:val="nl-NL"/>
        </w:rPr>
        <w:t>Yue</w:t>
      </w:r>
      <w:proofErr w:type="spellEnd"/>
      <w:r w:rsidRPr="006C1946">
        <w:rPr>
          <w:lang w:val="nl-NL"/>
        </w:rPr>
        <w:t xml:space="preserve"> X. 2021. </w:t>
      </w:r>
      <w:proofErr w:type="spellStart"/>
      <w:r w:rsidRPr="006C1946">
        <w:rPr>
          <w:lang w:val="nl-NL"/>
        </w:rPr>
        <w:t>Curvilinear</w:t>
      </w:r>
      <w:proofErr w:type="spellEnd"/>
      <w:r>
        <w:rPr>
          <w:lang w:val="nl-NL"/>
        </w:rPr>
        <w:t xml:space="preserve"> </w:t>
      </w:r>
      <w:r w:rsidRPr="006C1946">
        <w:rPr>
          <w:lang w:val="nl-NL"/>
        </w:rPr>
        <w:t xml:space="preserve">features are important </w:t>
      </w:r>
      <w:proofErr w:type="spellStart"/>
      <w:r w:rsidRPr="006C1946">
        <w:rPr>
          <w:lang w:val="nl-NL"/>
        </w:rPr>
        <w:t>for</w:t>
      </w:r>
      <w:proofErr w:type="spellEnd"/>
      <w:r w:rsidRPr="006C1946">
        <w:rPr>
          <w:lang w:val="nl-NL"/>
        </w:rPr>
        <w:t xml:space="preserve"> </w:t>
      </w:r>
      <w:proofErr w:type="spellStart"/>
      <w:r w:rsidRPr="006C1946">
        <w:rPr>
          <w:lang w:val="nl-NL"/>
        </w:rPr>
        <w:t>animate</w:t>
      </w:r>
      <w:proofErr w:type="spellEnd"/>
      <w:r w:rsidRPr="006C1946">
        <w:rPr>
          <w:lang w:val="nl-NL"/>
        </w:rPr>
        <w:t>/</w:t>
      </w:r>
      <w:proofErr w:type="spellStart"/>
      <w:r w:rsidRPr="006C1946">
        <w:rPr>
          <w:lang w:val="nl-NL"/>
        </w:rPr>
        <w:t>inanimate</w:t>
      </w:r>
      <w:proofErr w:type="spellEnd"/>
      <w:r w:rsidRPr="006C1946">
        <w:rPr>
          <w:lang w:val="nl-NL"/>
        </w:rPr>
        <w:t xml:space="preserve"> </w:t>
      </w:r>
      <w:proofErr w:type="spellStart"/>
      <w:r w:rsidRPr="006C1946">
        <w:rPr>
          <w:lang w:val="nl-NL"/>
        </w:rPr>
        <w:t>categorization</w:t>
      </w:r>
      <w:proofErr w:type="spellEnd"/>
      <w:r w:rsidRPr="006C1946">
        <w:rPr>
          <w:lang w:val="nl-NL"/>
        </w:rPr>
        <w:t xml:space="preserve"> in </w:t>
      </w:r>
      <w:proofErr w:type="spellStart"/>
      <w:r w:rsidRPr="006C1946">
        <w:rPr>
          <w:lang w:val="nl-NL"/>
        </w:rPr>
        <w:t>macaques</w:t>
      </w:r>
      <w:proofErr w:type="spellEnd"/>
      <w:r w:rsidRPr="006C1946">
        <w:rPr>
          <w:lang w:val="nl-NL"/>
        </w:rPr>
        <w:t xml:space="preserve">. </w:t>
      </w:r>
      <w:r w:rsidRPr="006C1946">
        <w:rPr>
          <w:i/>
          <w:iCs/>
          <w:lang w:val="nl-NL"/>
        </w:rPr>
        <w:t xml:space="preserve">Journal of </w:t>
      </w:r>
      <w:proofErr w:type="spellStart"/>
      <w:r w:rsidRPr="006C1946">
        <w:rPr>
          <w:i/>
          <w:iCs/>
          <w:lang w:val="nl-NL"/>
        </w:rPr>
        <w:t>Vision</w:t>
      </w:r>
      <w:proofErr w:type="spellEnd"/>
      <w:r w:rsidRPr="006C1946">
        <w:rPr>
          <w:i/>
          <w:iCs/>
          <w:lang w:val="nl-NL"/>
        </w:rPr>
        <w:t xml:space="preserve"> </w:t>
      </w:r>
      <w:r w:rsidRPr="006C1946">
        <w:rPr>
          <w:lang w:val="nl-NL"/>
        </w:rPr>
        <w:t xml:space="preserve">21:3. </w:t>
      </w:r>
    </w:p>
    <w:sectPr w:rsidR="006C1946" w:rsidSect="00034616">
      <w:headerReference w:type="default" r:id="rId14"/>
      <w:footerReference w:type="defaul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6BBA" w14:textId="77777777" w:rsidR="004B2A4B" w:rsidRDefault="004B2A4B">
      <w:pPr>
        <w:spacing w:after="0" w:line="240" w:lineRule="auto"/>
      </w:pPr>
      <w:r>
        <w:separator/>
      </w:r>
    </w:p>
  </w:endnote>
  <w:endnote w:type="continuationSeparator" w:id="0">
    <w:p w14:paraId="4B07FCB5" w14:textId="77777777" w:rsidR="004B2A4B" w:rsidRDefault="004B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A33E0" w14:textId="77777777" w:rsidR="00AE1047" w:rsidRDefault="00000000">
    <w:pPr>
      <w:pStyle w:val="Footer"/>
    </w:pPr>
    <w:r>
      <w:t xml:space="preserve">Page </w:t>
    </w:r>
    <w:r>
      <w:fldChar w:fldCharType="begin"/>
    </w:r>
    <w:r>
      <w:instrText>PAGE</w:instrText>
    </w:r>
    <w:r>
      <w:fldChar w:fldCharType="separate"/>
    </w:r>
    <w:r w:rsidR="008E506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D29C" w14:textId="77777777" w:rsidR="004B2A4B" w:rsidRDefault="004B2A4B">
      <w:pPr>
        <w:spacing w:after="0" w:line="240" w:lineRule="auto"/>
      </w:pPr>
      <w:r>
        <w:separator/>
      </w:r>
    </w:p>
  </w:footnote>
  <w:footnote w:type="continuationSeparator" w:id="0">
    <w:p w14:paraId="67D724E0" w14:textId="77777777" w:rsidR="004B2A4B" w:rsidRDefault="004B2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0D2C" w14:textId="77777777" w:rsidR="00AE1047" w:rsidRDefault="00000000">
    <w:pPr>
      <w:pStyle w:val="Header"/>
    </w:pPr>
    <w:r>
      <w:t>Gayet | Comment on Boger and Firestone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2066427">
    <w:abstractNumId w:val="8"/>
  </w:num>
  <w:num w:numId="2" w16cid:durableId="214515437">
    <w:abstractNumId w:val="6"/>
  </w:num>
  <w:num w:numId="3" w16cid:durableId="1644847483">
    <w:abstractNumId w:val="5"/>
  </w:num>
  <w:num w:numId="4" w16cid:durableId="1735086465">
    <w:abstractNumId w:val="4"/>
  </w:num>
  <w:num w:numId="5" w16cid:durableId="550653605">
    <w:abstractNumId w:val="7"/>
  </w:num>
  <w:num w:numId="6" w16cid:durableId="1921675948">
    <w:abstractNumId w:val="3"/>
  </w:num>
  <w:num w:numId="7" w16cid:durableId="1353458104">
    <w:abstractNumId w:val="2"/>
  </w:num>
  <w:num w:numId="8" w16cid:durableId="1750689528">
    <w:abstractNumId w:val="1"/>
  </w:num>
  <w:num w:numId="9" w16cid:durableId="1046293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D03"/>
    <w:rsid w:val="000B1C9E"/>
    <w:rsid w:val="000C51BB"/>
    <w:rsid w:val="0013157F"/>
    <w:rsid w:val="0015074B"/>
    <w:rsid w:val="0029639D"/>
    <w:rsid w:val="002D7378"/>
    <w:rsid w:val="00326F90"/>
    <w:rsid w:val="003A2E30"/>
    <w:rsid w:val="00490879"/>
    <w:rsid w:val="004B2A4B"/>
    <w:rsid w:val="004C57C9"/>
    <w:rsid w:val="004E1884"/>
    <w:rsid w:val="005272B7"/>
    <w:rsid w:val="005340BB"/>
    <w:rsid w:val="0057398F"/>
    <w:rsid w:val="005C00B4"/>
    <w:rsid w:val="005C04A8"/>
    <w:rsid w:val="00684BDD"/>
    <w:rsid w:val="00696D75"/>
    <w:rsid w:val="006C1946"/>
    <w:rsid w:val="006C1AF2"/>
    <w:rsid w:val="006C43F5"/>
    <w:rsid w:val="007102F8"/>
    <w:rsid w:val="00752441"/>
    <w:rsid w:val="00783948"/>
    <w:rsid w:val="00784BCD"/>
    <w:rsid w:val="007B4C8E"/>
    <w:rsid w:val="007E14B6"/>
    <w:rsid w:val="00813A19"/>
    <w:rsid w:val="008246F0"/>
    <w:rsid w:val="008251F3"/>
    <w:rsid w:val="00851751"/>
    <w:rsid w:val="00852213"/>
    <w:rsid w:val="0086120F"/>
    <w:rsid w:val="008911D7"/>
    <w:rsid w:val="008E5064"/>
    <w:rsid w:val="009A2666"/>
    <w:rsid w:val="009D4892"/>
    <w:rsid w:val="009E2B42"/>
    <w:rsid w:val="00A962CA"/>
    <w:rsid w:val="00AA1D8D"/>
    <w:rsid w:val="00AA6607"/>
    <w:rsid w:val="00AE1047"/>
    <w:rsid w:val="00B47730"/>
    <w:rsid w:val="00B8415A"/>
    <w:rsid w:val="00C114BF"/>
    <w:rsid w:val="00C52B14"/>
    <w:rsid w:val="00C76CEA"/>
    <w:rsid w:val="00CB0664"/>
    <w:rsid w:val="00CD75C3"/>
    <w:rsid w:val="00CE1A87"/>
    <w:rsid w:val="00D83AA6"/>
    <w:rsid w:val="00DB6F51"/>
    <w:rsid w:val="00DE62BF"/>
    <w:rsid w:val="00DE7E00"/>
    <w:rsid w:val="00E129EE"/>
    <w:rsid w:val="00E61BAB"/>
    <w:rsid w:val="00E965CF"/>
    <w:rsid w:val="00EA027D"/>
    <w:rsid w:val="00EA5FB9"/>
    <w:rsid w:val="00F04D2C"/>
    <w:rsid w:val="00F158BA"/>
    <w:rsid w:val="00F56974"/>
    <w:rsid w:val="00F81E28"/>
    <w:rsid w:val="00FA4753"/>
    <w:rsid w:val="00FB5686"/>
    <w:rsid w:val="00FC693F"/>
    <w:rsid w:val="00FD5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AA6B77"/>
  <w14:defaultImageDpi w14:val="300"/>
  <w15:docId w15:val="{03835FEB-7843-4942-8B49-49809ABB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20" w:lineRule="auto"/>
      <w:jc w:val="both"/>
    </w:pPr>
    <w:rPr>
      <w:rFonts w:ascii="Calibri" w:eastAsia="Calibri" w:hAnsi="Calibri" w:cs="Calibri"/>
      <w:color w:val="000000"/>
    </w:rPr>
  </w:style>
  <w:style w:type="paragraph" w:styleId="Heading1">
    <w:name w:val="heading 1"/>
    <w:basedOn w:val="Normal"/>
    <w:next w:val="Normal"/>
    <w:link w:val="Heading1Char"/>
    <w:uiPriority w:val="9"/>
    <w:qFormat/>
    <w:rsid w:val="00FC693F"/>
    <w:pPr>
      <w:keepNext/>
      <w:keepLines/>
      <w:spacing w:before="360" w:after="200" w:line="280" w:lineRule="auto"/>
      <w:jc w:val="left"/>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FC693F"/>
    <w:pPr>
      <w:keepNext/>
      <w:keepLines/>
      <w:spacing w:before="240" w:after="120" w:line="280" w:lineRule="auto"/>
      <w:jc w:val="left"/>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60" w:after="80" w:line="280" w:lineRule="auto"/>
      <w:jc w:val="left"/>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color w:val="666666"/>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right"/>
    </w:pPr>
    <w:rPr>
      <w:color w:val="666666"/>
      <w:sz w:val="18"/>
    </w:r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80" w:lineRule="auto"/>
      <w:contextualSpacing/>
      <w:jc w:val="left"/>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00" w:line="280" w:lineRule="auto"/>
      <w:jc w:val="left"/>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data">
    <w:name w:val="Metadata"/>
    <w:pPr>
      <w:spacing w:after="140" w:line="240" w:lineRule="auto"/>
    </w:pPr>
    <w:rPr>
      <w:rFonts w:ascii="Calibri" w:eastAsia="Calibri" w:hAnsi="Calibri" w:cs="Calibri"/>
      <w:color w:val="555555"/>
      <w:sz w:val="18"/>
    </w:rPr>
  </w:style>
  <w:style w:type="paragraph" w:customStyle="1" w:styleId="Reference">
    <w:name w:val="Reference"/>
    <w:pPr>
      <w:keepLines/>
      <w:spacing w:after="160" w:line="280" w:lineRule="auto"/>
      <w:ind w:left="360" w:hanging="360"/>
    </w:pPr>
    <w:rPr>
      <w:rFonts w:ascii="Calibri" w:eastAsia="Calibri" w:hAnsi="Calibri" w:cs="Calibri"/>
      <w:color w:val="000000"/>
      <w:sz w:val="21"/>
    </w:rPr>
  </w:style>
  <w:style w:type="character" w:styleId="Hyperlink">
    <w:name w:val="Hyperlink"/>
    <w:basedOn w:val="DefaultParagraphFont"/>
    <w:uiPriority w:val="99"/>
    <w:unhideWhenUsed/>
    <w:rsid w:val="00EA5FB9"/>
    <w:rPr>
      <w:color w:val="0000FF" w:themeColor="hyperlink"/>
      <w:u w:val="single"/>
    </w:rPr>
  </w:style>
  <w:style w:type="character" w:styleId="UnresolvedMention">
    <w:name w:val="Unresolved Mention"/>
    <w:basedOn w:val="DefaultParagraphFont"/>
    <w:uiPriority w:val="99"/>
    <w:semiHidden/>
    <w:unhideWhenUsed/>
    <w:rsid w:val="00EA5F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yet@uu.nl"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67/jov.21.1.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7554/eLife.111179.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7554/eLife.111179.3" TargetMode="External"/><Relationship Id="rId4" Type="http://schemas.openxmlformats.org/officeDocument/2006/relationships/settings" Target="settings.xml"/><Relationship Id="rId9" Type="http://schemas.openxmlformats.org/officeDocument/2006/relationships/hyperlink" Target="https://orcid.org/0000-0001-9728-127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2794</Words>
  <Characters>15370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Comment on “Perceiving animacy in ‘identical’ images”</vt:lpstr>
    </vt:vector>
  </TitlesOfParts>
  <Manager/>
  <Company/>
  <LinksUpToDate>false</LinksUpToDate>
  <CharactersWithSpaces>18128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on “Perceiving animacy in ‘identical’ images”</dc:title>
  <dc:subject>First draft of Scientific Correspondence on Boger and Firestone (2026)</dc:subject>
  <dc:creator>Surya Gayet</dc:creator>
  <cp:keywords>animacy; visual anagrams; retinotopy; visual-field anisotropies; object recognition</cp:keywords>
  <dc:description>First draft. Bibliographic links verified on 27 August 2026. Administrative declarations and corresponding-author details remain to be supplied before submission.</dc:description>
  <cp:lastModifiedBy>Gayet, S. (Surya)</cp:lastModifiedBy>
  <cp:revision>21</cp:revision>
  <dcterms:created xsi:type="dcterms:W3CDTF">2013-12-23T23:15:00Z</dcterms:created>
  <dcterms:modified xsi:type="dcterms:W3CDTF">2026-09-02T07:49:00Z</dcterms:modified>
  <cp:category/>
</cp:coreProperties>
</file>